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0D0A" w14:textId="77777777" w:rsidR="00ED2EDA" w:rsidRDefault="00ED2EDA" w:rsidP="00ED2EDA">
      <w:pPr>
        <w:jc w:val="both"/>
        <w:rPr>
          <w:rFonts w:cs="Arial"/>
          <w:szCs w:val="20"/>
        </w:rPr>
      </w:pPr>
    </w:p>
    <w:p w14:paraId="3E5553CA" w14:textId="77777777" w:rsidR="00FA6ECA" w:rsidRDefault="00FA6ECA" w:rsidP="00FA6ECA">
      <w:pPr>
        <w:jc w:val="center"/>
        <w:rPr>
          <w:rFonts w:cs="Arial"/>
          <w:b/>
          <w:bCs/>
          <w:color w:val="auto"/>
          <w:szCs w:val="20"/>
          <w:u w:val="single"/>
          <w:lang w:val="pt-BR"/>
        </w:rPr>
      </w:pPr>
      <w:r>
        <w:rPr>
          <w:rFonts w:cs="Arial"/>
          <w:b/>
          <w:bCs/>
          <w:szCs w:val="20"/>
          <w:u w:val="single"/>
          <w:lang w:val="pt-BR"/>
        </w:rPr>
        <w:t>TERMOS E CONDIÇÕES GERAIS DA HEXAGON MINING</w:t>
      </w:r>
    </w:p>
    <w:p w14:paraId="6A7C3609" w14:textId="77777777" w:rsidR="00FA6ECA" w:rsidRDefault="00FA6ECA" w:rsidP="00FA6ECA">
      <w:pPr>
        <w:jc w:val="both"/>
        <w:rPr>
          <w:rFonts w:cs="Arial"/>
          <w:szCs w:val="20"/>
          <w:lang w:val="pt-BR"/>
        </w:rPr>
      </w:pPr>
    </w:p>
    <w:p w14:paraId="3A31E650" w14:textId="77777777" w:rsidR="00FA6ECA" w:rsidRDefault="00FA6ECA" w:rsidP="00FA6ECA">
      <w:pPr>
        <w:jc w:val="both"/>
        <w:rPr>
          <w:rFonts w:cs="Arial"/>
          <w:szCs w:val="20"/>
          <w:lang w:val="pt-BR"/>
        </w:rPr>
      </w:pPr>
    </w:p>
    <w:p w14:paraId="275D6C3F" w14:textId="77777777" w:rsidR="00FA6ECA" w:rsidRPr="00A67C91" w:rsidRDefault="00FA6ECA" w:rsidP="00FA6ECA">
      <w:pPr>
        <w:jc w:val="both"/>
        <w:rPr>
          <w:rFonts w:cs="Arial"/>
          <w:color w:val="auto"/>
          <w:szCs w:val="20"/>
          <w:lang w:val="pt-BR"/>
        </w:rPr>
      </w:pPr>
      <w:r w:rsidRPr="00A67C91">
        <w:rPr>
          <w:rFonts w:cs="Arial"/>
          <w:color w:val="auto"/>
          <w:szCs w:val="20"/>
          <w:lang w:val="pt-BR"/>
        </w:rPr>
        <w:t>Estes Termos e Condições Gerais e a proposta da Hexagon ou cotação gerada pela Hexagon assinada ou acordada de outra forma por escrito entre a Hexagon e o Cliente ("</w:t>
      </w:r>
      <w:r w:rsidRPr="00A67C91">
        <w:rPr>
          <w:rFonts w:cs="Arial"/>
          <w:b/>
          <w:bCs/>
          <w:color w:val="auto"/>
          <w:szCs w:val="20"/>
          <w:lang w:val="pt-BR"/>
        </w:rPr>
        <w:t>Pedido</w:t>
      </w:r>
      <w:r w:rsidRPr="00A67C91">
        <w:rPr>
          <w:rFonts w:cs="Arial"/>
          <w:color w:val="auto"/>
          <w:szCs w:val="20"/>
          <w:lang w:val="pt-BR"/>
        </w:rPr>
        <w:t>") juntos formam o acordo vinculante completo ("</w:t>
      </w:r>
      <w:r w:rsidRPr="00A67C91">
        <w:rPr>
          <w:rFonts w:cs="Arial"/>
          <w:b/>
          <w:bCs/>
          <w:color w:val="auto"/>
          <w:szCs w:val="20"/>
          <w:lang w:val="pt-BR"/>
        </w:rPr>
        <w:t>Contrato</w:t>
      </w:r>
      <w:r w:rsidRPr="00A67C91">
        <w:rPr>
          <w:rFonts w:cs="Arial"/>
          <w:color w:val="auto"/>
          <w:szCs w:val="20"/>
          <w:lang w:val="pt-BR"/>
        </w:rPr>
        <w:t>") entre as partes para uso do Hardware e Software Hexagon, a prestação de serviços profissionais ("</w:t>
      </w:r>
      <w:r w:rsidRPr="00A67C91">
        <w:rPr>
          <w:rFonts w:cs="Arial"/>
          <w:b/>
          <w:bCs/>
          <w:color w:val="auto"/>
          <w:szCs w:val="20"/>
          <w:lang w:val="pt-BR"/>
        </w:rPr>
        <w:t>Serviços</w:t>
      </w:r>
      <w:r w:rsidRPr="00A67C91">
        <w:rPr>
          <w:rFonts w:cs="Arial"/>
          <w:color w:val="auto"/>
          <w:szCs w:val="20"/>
          <w:lang w:val="pt-BR"/>
        </w:rPr>
        <w:t>"), a subscrição ou aluguel de software e/ou hardware ("</w:t>
      </w:r>
      <w:r w:rsidRPr="00A67C91">
        <w:rPr>
          <w:rFonts w:cs="Arial"/>
          <w:b/>
          <w:color w:val="auto"/>
          <w:szCs w:val="20"/>
          <w:lang w:val="pt-BR"/>
        </w:rPr>
        <w:t>Subscrição</w:t>
      </w:r>
      <w:r w:rsidRPr="00A67C91">
        <w:rPr>
          <w:rFonts w:cs="Arial"/>
          <w:color w:val="auto"/>
          <w:szCs w:val="20"/>
          <w:lang w:val="pt-BR"/>
        </w:rPr>
        <w:t>") e manutenção anual ("</w:t>
      </w:r>
      <w:r w:rsidRPr="00A67C91">
        <w:rPr>
          <w:rFonts w:cs="Arial"/>
          <w:b/>
          <w:bCs/>
          <w:color w:val="auto"/>
          <w:szCs w:val="20"/>
          <w:lang w:val="pt-BR"/>
        </w:rPr>
        <w:t>Manutenção</w:t>
      </w:r>
      <w:r w:rsidRPr="00A67C91">
        <w:rPr>
          <w:rFonts w:cs="Arial"/>
          <w:color w:val="auto"/>
          <w:szCs w:val="20"/>
          <w:lang w:val="pt-BR"/>
        </w:rPr>
        <w:t>") com sua respectiva renovação ("</w:t>
      </w:r>
      <w:r w:rsidRPr="00A67C91">
        <w:rPr>
          <w:rFonts w:cs="Arial"/>
          <w:b/>
          <w:bCs/>
          <w:color w:val="auto"/>
          <w:szCs w:val="20"/>
          <w:lang w:val="pt-BR"/>
        </w:rPr>
        <w:t>Renovação(ões)</w:t>
      </w:r>
      <w:r w:rsidRPr="00A67C91">
        <w:rPr>
          <w:rFonts w:cs="Arial"/>
          <w:color w:val="auto"/>
          <w:szCs w:val="20"/>
          <w:lang w:val="pt-BR"/>
        </w:rPr>
        <w:t>") na forma acordada pelas partes no Pedido aplicável.</w:t>
      </w:r>
    </w:p>
    <w:p w14:paraId="460E76EA" w14:textId="77777777" w:rsidR="00FA6ECA" w:rsidRPr="00A67C91" w:rsidRDefault="00FA6ECA" w:rsidP="00FA6ECA">
      <w:pPr>
        <w:jc w:val="both"/>
        <w:rPr>
          <w:rFonts w:cs="Arial"/>
          <w:color w:val="auto"/>
          <w:szCs w:val="20"/>
          <w:lang w:val="pt-BR"/>
        </w:rPr>
      </w:pPr>
    </w:p>
    <w:p w14:paraId="33F4DA88" w14:textId="77777777" w:rsidR="00FA6ECA" w:rsidRPr="00A67C91" w:rsidRDefault="00FA6ECA" w:rsidP="00FA6ECA">
      <w:pPr>
        <w:jc w:val="both"/>
        <w:rPr>
          <w:rFonts w:cs="Arial"/>
          <w:color w:val="auto"/>
          <w:szCs w:val="20"/>
          <w:lang w:val="pt-BR"/>
        </w:rPr>
      </w:pPr>
      <w:r w:rsidRPr="00A67C91">
        <w:rPr>
          <w:rFonts w:cs="Arial"/>
          <w:b/>
          <w:color w:val="auto"/>
          <w:szCs w:val="20"/>
          <w:lang w:val="pt-BR"/>
        </w:rPr>
        <w:t>1.</w:t>
      </w:r>
      <w:r w:rsidRPr="00A67C91">
        <w:rPr>
          <w:rFonts w:cs="Arial"/>
          <w:color w:val="auto"/>
          <w:szCs w:val="20"/>
          <w:lang w:val="pt-BR"/>
        </w:rPr>
        <w:t xml:space="preserve"> </w:t>
      </w:r>
      <w:r w:rsidRPr="00A67C91">
        <w:rPr>
          <w:rFonts w:cs="Arial"/>
          <w:b/>
          <w:bCs/>
          <w:color w:val="auto"/>
          <w:szCs w:val="20"/>
          <w:u w:val="single"/>
          <w:lang w:val="pt-BR"/>
        </w:rPr>
        <w:t>Partes</w:t>
      </w:r>
      <w:r w:rsidRPr="00A67C91">
        <w:rPr>
          <w:rFonts w:cs="Arial"/>
          <w:b/>
          <w:bCs/>
          <w:color w:val="auto"/>
          <w:szCs w:val="20"/>
          <w:lang w:val="pt-BR"/>
        </w:rPr>
        <w:t>. “Hexagon”</w:t>
      </w:r>
      <w:r w:rsidRPr="00A67C91">
        <w:rPr>
          <w:rFonts w:cs="Arial"/>
          <w:color w:val="auto"/>
          <w:szCs w:val="20"/>
          <w:lang w:val="pt-BR"/>
        </w:rPr>
        <w:t xml:space="preserve"> significa Hexagon Mining Inc. ou sua afiliada indicada no Pedido. “</w:t>
      </w:r>
      <w:r w:rsidRPr="00A67C91">
        <w:rPr>
          <w:rFonts w:cs="Arial"/>
          <w:b/>
          <w:bCs/>
          <w:color w:val="auto"/>
          <w:szCs w:val="20"/>
          <w:lang w:val="pt-BR"/>
        </w:rPr>
        <w:t>Cliente</w:t>
      </w:r>
      <w:r w:rsidRPr="00A67C91">
        <w:rPr>
          <w:rFonts w:cs="Arial"/>
          <w:color w:val="auto"/>
          <w:szCs w:val="20"/>
          <w:lang w:val="pt-BR"/>
        </w:rPr>
        <w:t>” refere-se à entidade identificada no Pedido, exceto quando acordado de outra forma entre as partes por escrito. A Hexagon e o Cliente podem ser individualmente referidos como uma "parte" ou coletivamente como "partes". O Cliente concorda expressamente que as únicas partes do Contrato são o Cliente e a afiliada específica da Hexagon indicada no Pedido e nenhuma outra afiliada da Hexagon estará vinculada ou obrigada aos termos deste Contrato. O Cliente concorda que é o único responsável pelo uso do Hardware, Software, Serviços, Subscrição, Manutenção e Renovações (coletivamente denominado, os "</w:t>
      </w:r>
      <w:r w:rsidRPr="00A67C91">
        <w:rPr>
          <w:rFonts w:cs="Arial"/>
          <w:b/>
          <w:bCs/>
          <w:color w:val="auto"/>
          <w:szCs w:val="20"/>
          <w:lang w:val="pt-BR"/>
        </w:rPr>
        <w:t>Produtos</w:t>
      </w:r>
      <w:r w:rsidRPr="00A67C91">
        <w:rPr>
          <w:rFonts w:cs="Arial"/>
          <w:color w:val="auto"/>
          <w:szCs w:val="20"/>
          <w:lang w:val="pt-BR"/>
        </w:rPr>
        <w:t>") por parte de seus afiliados e de seus respectivos funcionários e contratados (coletivamente denominados, "</w:t>
      </w:r>
      <w:r w:rsidRPr="00A67C91">
        <w:rPr>
          <w:rFonts w:cs="Arial"/>
          <w:b/>
          <w:bCs/>
          <w:color w:val="auto"/>
          <w:szCs w:val="20"/>
          <w:lang w:val="pt-BR"/>
        </w:rPr>
        <w:t>Partes do Cliente</w:t>
      </w:r>
      <w:r w:rsidRPr="00A67C91">
        <w:rPr>
          <w:rFonts w:cs="Arial"/>
          <w:color w:val="auto"/>
          <w:szCs w:val="20"/>
          <w:lang w:val="pt-BR"/>
        </w:rPr>
        <w:t>") e pelo cumprimento deste Contrato.</w:t>
      </w:r>
    </w:p>
    <w:p w14:paraId="53705FFB" w14:textId="77777777" w:rsidR="00FA6ECA" w:rsidRPr="00A67C91" w:rsidRDefault="00FA6ECA" w:rsidP="00FA6ECA">
      <w:pPr>
        <w:jc w:val="both"/>
        <w:rPr>
          <w:rFonts w:cs="Arial"/>
          <w:color w:val="auto"/>
          <w:szCs w:val="20"/>
          <w:lang w:val="pt-BR"/>
        </w:rPr>
      </w:pPr>
    </w:p>
    <w:p w14:paraId="191F1274" w14:textId="77777777" w:rsidR="00FA6ECA" w:rsidRPr="00A67C91" w:rsidRDefault="00FA6ECA" w:rsidP="00FA6ECA">
      <w:pPr>
        <w:jc w:val="both"/>
        <w:rPr>
          <w:rFonts w:cs="Arial"/>
          <w:smallCaps/>
          <w:color w:val="auto"/>
          <w:szCs w:val="20"/>
          <w:lang w:val="pt-BR"/>
        </w:rPr>
      </w:pPr>
      <w:r w:rsidRPr="00A67C91">
        <w:rPr>
          <w:rFonts w:cs="Arial"/>
          <w:b/>
          <w:smallCaps/>
          <w:color w:val="auto"/>
          <w:szCs w:val="20"/>
          <w:lang w:val="pt-BR"/>
        </w:rPr>
        <w:t>2.</w:t>
      </w:r>
      <w:r w:rsidRPr="00A67C91">
        <w:rPr>
          <w:rFonts w:cs="Arial"/>
          <w:smallCaps/>
          <w:color w:val="auto"/>
          <w:szCs w:val="20"/>
          <w:lang w:val="pt-BR"/>
        </w:rPr>
        <w:t xml:space="preserve"> </w:t>
      </w:r>
      <w:r w:rsidRPr="00A67C91">
        <w:rPr>
          <w:rFonts w:cs="Arial"/>
          <w:b/>
          <w:bCs/>
          <w:smallCaps/>
          <w:color w:val="auto"/>
          <w:szCs w:val="20"/>
          <w:u w:val="single"/>
          <w:lang w:val="pt-BR"/>
        </w:rPr>
        <w:t>Aviso Importante sobre Danos Pessoais</w:t>
      </w:r>
      <w:r w:rsidRPr="00A67C91">
        <w:rPr>
          <w:rFonts w:cs="Arial"/>
          <w:smallCaps/>
          <w:color w:val="auto"/>
          <w:szCs w:val="20"/>
          <w:lang w:val="pt-BR"/>
        </w:rPr>
        <w:t xml:space="preserve">. Todos os produtos de segurança da Hexagon, incluindo, mas não se limitando a, conscientização do tráfego, anti-colisão, sistemas de monitoramento de fadiga, sistemas de despacho ou gestão de frota, orientação de alta precisão e produtos de monitoramento de estruturas devem ser consideradas como ferramentas adicionais no auxílio da identificação de perigo potencial e gerenciamento de atividades de mineração. </w:t>
      </w:r>
      <w:r w:rsidRPr="00A67C91">
        <w:rPr>
          <w:rFonts w:cs="Arial"/>
          <w:b/>
          <w:bCs/>
          <w:smallCaps/>
          <w:color w:val="auto"/>
          <w:szCs w:val="20"/>
          <w:lang w:val="pt-BR"/>
        </w:rPr>
        <w:t>Estes Produtos</w:t>
      </w:r>
      <w:r w:rsidRPr="00A67C91">
        <w:rPr>
          <w:rFonts w:cs="Arial"/>
          <w:smallCaps/>
          <w:color w:val="auto"/>
          <w:szCs w:val="20"/>
          <w:lang w:val="pt-BR"/>
        </w:rPr>
        <w:t xml:space="preserve"> </w:t>
      </w:r>
      <w:r w:rsidRPr="00A67C91">
        <w:rPr>
          <w:rFonts w:cs="Arial"/>
          <w:b/>
          <w:bCs/>
          <w:smallCaps/>
          <w:color w:val="auto"/>
          <w:szCs w:val="20"/>
          <w:lang w:val="pt-BR"/>
        </w:rPr>
        <w:t>deverão auxiliar, e não substituir</w:t>
      </w:r>
      <w:r w:rsidRPr="00A67C91">
        <w:rPr>
          <w:rFonts w:cs="Arial"/>
          <w:smallCaps/>
          <w:color w:val="auto"/>
          <w:szCs w:val="20"/>
          <w:lang w:val="pt-BR"/>
        </w:rPr>
        <w:t xml:space="preserve">, um motorista, condutor ou outro profissional qualificado, alerta e consciente. nenhum produto pode detectar todas as ameaças dentro da janela de detecção. </w:t>
      </w:r>
      <w:r w:rsidRPr="00A67C91">
        <w:rPr>
          <w:rFonts w:cs="Arial"/>
          <w:b/>
          <w:bCs/>
          <w:smallCaps/>
          <w:color w:val="auto"/>
          <w:szCs w:val="20"/>
          <w:lang w:val="pt-BR"/>
        </w:rPr>
        <w:t>Os Produtos não são projetados como substitutos para procedimentos adequados de condução segura, de monitoramento visual e de varredura</w:t>
      </w:r>
      <w:r w:rsidRPr="00A67C91">
        <w:rPr>
          <w:rFonts w:cs="Arial"/>
          <w:smallCaps/>
          <w:color w:val="auto"/>
          <w:szCs w:val="20"/>
          <w:lang w:val="pt-BR"/>
        </w:rPr>
        <w:t xml:space="preserve">. Um profissional vigilante e eficiente se faz necessário em todos os momentos e em todas as situações. O condutor do veículo permanecerá inteiramente responsável pela sua operação e por garantir a segurança dos passageiros, pedestres e outros tráfegos. O Cliente não deve utilizar os Produtos Hexagon em cenários que não sejam projetados para o uso pretendido e autorizado. Antes de instalar, manusear, usar ou reparar qualquer Produto, o Cliente deve ler a folha de dados, os manuais e as notas de utilização com atenção para garantir a compreensão plena das operações e limitações dos Produtos. A não observância destas instruções poderá resultar em lesões graves ou morte. </w:t>
      </w:r>
    </w:p>
    <w:p w14:paraId="58139FB1" w14:textId="77777777" w:rsidR="00FA6ECA" w:rsidRPr="00A67C91" w:rsidRDefault="00FA6ECA" w:rsidP="00FA6ECA">
      <w:pPr>
        <w:jc w:val="both"/>
        <w:rPr>
          <w:rFonts w:cs="Arial"/>
          <w:color w:val="auto"/>
          <w:szCs w:val="20"/>
          <w:lang w:val="pt-BR"/>
        </w:rPr>
      </w:pPr>
    </w:p>
    <w:p w14:paraId="03E221F2" w14:textId="77777777" w:rsidR="00FA6ECA" w:rsidRPr="00A67C91" w:rsidRDefault="00FA6ECA" w:rsidP="00FA6ECA">
      <w:pPr>
        <w:pStyle w:val="DownerListNumber4"/>
        <w:numPr>
          <w:ilvl w:val="0"/>
          <w:numId w:val="0"/>
        </w:numPr>
        <w:tabs>
          <w:tab w:val="left" w:pos="720"/>
        </w:tabs>
        <w:rPr>
          <w:rFonts w:cs="Arial"/>
          <w:sz w:val="20"/>
          <w:szCs w:val="20"/>
          <w:lang w:val="pt-BR"/>
        </w:rPr>
      </w:pPr>
      <w:r w:rsidRPr="00A67C91">
        <w:rPr>
          <w:rFonts w:cs="Arial"/>
          <w:b/>
          <w:sz w:val="20"/>
          <w:szCs w:val="20"/>
          <w:lang w:val="pt-BR"/>
        </w:rPr>
        <w:t>3.</w:t>
      </w:r>
      <w:r w:rsidRPr="00A67C91">
        <w:rPr>
          <w:rFonts w:cs="Arial"/>
          <w:sz w:val="20"/>
          <w:szCs w:val="20"/>
          <w:lang w:val="pt-BR"/>
        </w:rPr>
        <w:t xml:space="preserve"> </w:t>
      </w:r>
      <w:r w:rsidRPr="00A67C91">
        <w:rPr>
          <w:rFonts w:cs="Arial"/>
          <w:b/>
          <w:sz w:val="20"/>
          <w:szCs w:val="20"/>
          <w:u w:val="single"/>
          <w:lang w:val="pt-BR"/>
        </w:rPr>
        <w:t>Pedidos</w:t>
      </w:r>
      <w:r w:rsidRPr="00A67C91">
        <w:rPr>
          <w:rFonts w:cs="Arial"/>
          <w:sz w:val="20"/>
          <w:szCs w:val="20"/>
          <w:lang w:val="pt-BR"/>
        </w:rPr>
        <w:t xml:space="preserve">. A Hexagon processará o Pedido identificando os Produtos a serem fornecidos, licenciados, comprados ou alugados, conforme o caso, os preços aplicáveis, remessa solicitada ou datas de fornecimento conforme a quantidade de Produtos, prazo e quaisquer outras restrições de uso. A menos que seja especificado de outra forma no Pedido, todo Hardware e Software são licenciados e disponibilizados no regime de Subscrição pelo prazo estabelecido no Pedido. </w:t>
      </w:r>
      <w:r w:rsidRPr="00A67C91">
        <w:rPr>
          <w:rFonts w:cs="Arial"/>
          <w:b/>
          <w:sz w:val="20"/>
          <w:szCs w:val="20"/>
          <w:lang w:val="pt-BR"/>
        </w:rPr>
        <w:t xml:space="preserve">Os pedidos </w:t>
      </w:r>
      <w:r w:rsidRPr="00A67C91">
        <w:rPr>
          <w:rFonts w:cs="Arial"/>
          <w:b/>
          <w:sz w:val="20"/>
          <w:szCs w:val="20"/>
          <w:u w:val="single"/>
          <w:lang w:val="pt-BR"/>
        </w:rPr>
        <w:t>não podem ser cancelados nem devolvidos</w:t>
      </w:r>
      <w:r w:rsidRPr="00A67C91">
        <w:rPr>
          <w:rFonts w:cs="Arial"/>
          <w:b/>
          <w:sz w:val="20"/>
          <w:szCs w:val="20"/>
          <w:lang w:val="pt-BR"/>
        </w:rPr>
        <w:t>, a menos que esteja estabelecido de outra forma no Pedido</w:t>
      </w:r>
      <w:r w:rsidRPr="00A67C91">
        <w:rPr>
          <w:rFonts w:cs="Arial"/>
          <w:sz w:val="20"/>
          <w:szCs w:val="20"/>
          <w:lang w:val="pt-BR"/>
        </w:rPr>
        <w:t>. Se a Hexagon considerar que um Pedido emitido não esteja em conformidade com os termos deste Contrato ou com sua Proposta/Cotação, a Hexagon deverá fornecer, no prazo máximo de dez (10) Dias Úteis após o recebimento do Pedido, uma notificação por escrito ao Cliente, incluindo detalhes dos aspectos do Pedido que a Hexagon considera não estarem conformes com este Contrato. Se a Hexagon não apresentar uma notificação por escrito de acordo com o prazo especificado, o Pedido será considerado aceito pela Hexagon.</w:t>
      </w:r>
    </w:p>
    <w:p w14:paraId="153CEFD2" w14:textId="77777777" w:rsidR="00FA6ECA" w:rsidRPr="00A67C91" w:rsidRDefault="00FA6ECA" w:rsidP="00FA6ECA">
      <w:pPr>
        <w:pStyle w:val="DownerListNumber4"/>
        <w:numPr>
          <w:ilvl w:val="0"/>
          <w:numId w:val="0"/>
        </w:numPr>
        <w:tabs>
          <w:tab w:val="left" w:pos="720"/>
        </w:tabs>
        <w:rPr>
          <w:rFonts w:cs="Arial"/>
          <w:sz w:val="20"/>
          <w:szCs w:val="20"/>
          <w:lang w:val="pt-BR"/>
        </w:rPr>
      </w:pPr>
    </w:p>
    <w:p w14:paraId="5DC919E3" w14:textId="77777777" w:rsidR="00FA6ECA" w:rsidRPr="00A67C91" w:rsidRDefault="00FA6ECA" w:rsidP="00FA6ECA">
      <w:pPr>
        <w:jc w:val="both"/>
        <w:rPr>
          <w:rFonts w:cs="Arial"/>
          <w:color w:val="auto"/>
          <w:szCs w:val="20"/>
          <w:lang w:val="pt-BR"/>
        </w:rPr>
      </w:pPr>
      <w:r w:rsidRPr="00A67C91">
        <w:rPr>
          <w:rFonts w:cs="Arial"/>
          <w:b/>
          <w:color w:val="auto"/>
          <w:szCs w:val="20"/>
          <w:lang w:val="pt-BR"/>
        </w:rPr>
        <w:t>4.</w:t>
      </w:r>
      <w:r w:rsidRPr="00A67C91">
        <w:rPr>
          <w:rFonts w:cs="Arial"/>
          <w:color w:val="auto"/>
          <w:szCs w:val="20"/>
          <w:lang w:val="pt-BR"/>
        </w:rPr>
        <w:t xml:space="preserve"> </w:t>
      </w:r>
      <w:r w:rsidRPr="00A67C91">
        <w:rPr>
          <w:rFonts w:cs="Arial"/>
          <w:b/>
          <w:color w:val="auto"/>
          <w:szCs w:val="20"/>
          <w:u w:val="single"/>
          <w:lang w:val="pt-BR"/>
        </w:rPr>
        <w:t>Documentação</w:t>
      </w:r>
      <w:r w:rsidRPr="00A67C91">
        <w:rPr>
          <w:rFonts w:cs="Arial"/>
          <w:color w:val="auto"/>
          <w:szCs w:val="20"/>
          <w:lang w:val="pt-BR"/>
        </w:rPr>
        <w:t>. A Hexagon fornecerá ou disponibilizará eletronicamente ao Cliente todos os manuais de operação aplicáveis e procedimentos de trabalho seguro (juntos denominados, "</w:t>
      </w:r>
      <w:r w:rsidRPr="00A67C91">
        <w:rPr>
          <w:rFonts w:cs="Arial"/>
          <w:b/>
          <w:color w:val="auto"/>
          <w:szCs w:val="20"/>
          <w:lang w:val="pt-BR"/>
        </w:rPr>
        <w:t>Documentação</w:t>
      </w:r>
      <w:r w:rsidRPr="00A67C91">
        <w:rPr>
          <w:rFonts w:cs="Arial"/>
          <w:color w:val="auto"/>
          <w:szCs w:val="20"/>
          <w:lang w:val="pt-BR"/>
        </w:rPr>
        <w:t xml:space="preserve">") referente aos Produtos. O cliente deverá revisar a documentação antes de usar qualquer Produto. Se o Cliente não receber ou não compreender a Documentação, ele concorda em </w:t>
      </w:r>
      <w:r w:rsidRPr="00A67C91">
        <w:rPr>
          <w:rFonts w:cs="Arial"/>
          <w:color w:val="auto"/>
          <w:szCs w:val="20"/>
          <w:lang w:val="pt-BR"/>
        </w:rPr>
        <w:lastRenderedPageBreak/>
        <w:t>entrar em contato com a Hexagon antes de usar ou acessar quaisquer Produtos. O Cliente poderá copiar ou reproduzir a Documentação conforme razoavelmente necessário a fim de usar os Produtos durante o prazo aplicável. O cliente deverá garantir que as cópias expressem claramente que a Documentação pertence à Hexagon e que não deve ser reproduzida, exceto quando expressamente permitido por Contrato.</w:t>
      </w:r>
    </w:p>
    <w:p w14:paraId="34FFF172" w14:textId="77777777" w:rsidR="004C1F9C" w:rsidRPr="00A67C91" w:rsidRDefault="004C1F9C" w:rsidP="004C1F9C">
      <w:pPr>
        <w:jc w:val="both"/>
        <w:rPr>
          <w:rFonts w:cs="Arial"/>
          <w:color w:val="auto"/>
          <w:szCs w:val="20"/>
          <w:lang w:val="es-CL"/>
        </w:rPr>
      </w:pPr>
    </w:p>
    <w:p w14:paraId="3ABC428A" w14:textId="77777777" w:rsidR="00FA6ECA" w:rsidRPr="00A67C91" w:rsidRDefault="00FA6ECA" w:rsidP="00FA6ECA">
      <w:pPr>
        <w:jc w:val="both"/>
        <w:rPr>
          <w:rFonts w:cs="Arial"/>
          <w:color w:val="auto"/>
          <w:szCs w:val="20"/>
          <w:lang w:val="pt-BR"/>
        </w:rPr>
      </w:pPr>
      <w:r w:rsidRPr="00A67C91">
        <w:rPr>
          <w:rFonts w:cs="Arial"/>
          <w:b/>
          <w:color w:val="auto"/>
          <w:szCs w:val="20"/>
          <w:lang w:val="pt-BR"/>
        </w:rPr>
        <w:t>5.</w:t>
      </w:r>
      <w:r w:rsidRPr="00A67C91">
        <w:rPr>
          <w:rFonts w:cs="Arial"/>
          <w:color w:val="auto"/>
          <w:szCs w:val="20"/>
          <w:lang w:val="pt-BR"/>
        </w:rPr>
        <w:t xml:space="preserve"> </w:t>
      </w:r>
      <w:r w:rsidRPr="00A67C91">
        <w:rPr>
          <w:rFonts w:cs="Arial"/>
          <w:b/>
          <w:color w:val="auto"/>
          <w:szCs w:val="20"/>
          <w:u w:val="single"/>
          <w:lang w:val="pt-BR"/>
        </w:rPr>
        <w:t>Transferências de Dados; Privacidade</w:t>
      </w:r>
      <w:r w:rsidRPr="00A67C91">
        <w:rPr>
          <w:rFonts w:cs="Arial"/>
          <w:color w:val="auto"/>
          <w:szCs w:val="20"/>
          <w:lang w:val="pt-BR"/>
        </w:rPr>
        <w:t>. O Cliente entende e concorda que certos Produtos podem exigir a divulgação e o uso de certos dados pela Hexagon relacionados às Partes Clientes. De acordo com a legislação aplicável, tais dados são ou podem ser considerados informações de identificação sensível ou confidencial, como, por exemplo, a localização do funcionário e dados faciais biométricos. O cliente é o único responsável por obter os consentimentos necessários, fornecer os avisos necessários e, por fim, garantir que tem o direito de usar e divulgar esses dados para a Hexagon nos termos das leis aplicáveis, incluindo, sem limitação, Lei Geral de Proteção de Dados (“</w:t>
      </w:r>
      <w:r w:rsidRPr="00A67C91">
        <w:rPr>
          <w:rFonts w:cs="Arial"/>
          <w:b/>
          <w:color w:val="auto"/>
          <w:szCs w:val="20"/>
          <w:lang w:val="pt-BR"/>
        </w:rPr>
        <w:t>LGPD</w:t>
      </w:r>
      <w:r w:rsidRPr="00A67C91">
        <w:rPr>
          <w:rFonts w:cs="Arial"/>
          <w:color w:val="auto"/>
          <w:szCs w:val="20"/>
          <w:lang w:val="pt-BR"/>
        </w:rPr>
        <w:t xml:space="preserve">”) e qualquer lei de privacidade ou segurança de dados semelhante na jurisdição legal aplicável. A Hexagon está comprometida com o processamento seguro e protegido de tais dados e com a conformidade com as leis de proteção de dados em vigor. A Hexagon implementou medidas técnicas, administrativas e físicas razoáveis ​​para ajudar a proteger esses dados contra perda ou acesso ilegal. A Hexagon coleta, usa e divulga dados de acordo com sua política de privacidade, disponível no seguinte endereço: </w:t>
      </w:r>
      <w:hyperlink r:id="rId8" w:history="1">
        <w:r>
          <w:rPr>
            <w:rStyle w:val="Hyperlink"/>
            <w:rFonts w:cs="Arial"/>
            <w:szCs w:val="20"/>
            <w:lang w:val="pt-BR"/>
          </w:rPr>
          <w:t>https://hexagonmining.com/privacy-policy</w:t>
        </w:r>
      </w:hyperlink>
      <w:r>
        <w:rPr>
          <w:rFonts w:cs="Arial"/>
          <w:szCs w:val="20"/>
          <w:lang w:val="pt-BR"/>
        </w:rPr>
        <w:t xml:space="preserve">. </w:t>
      </w:r>
      <w:r w:rsidRPr="00A67C91">
        <w:rPr>
          <w:rFonts w:cs="Arial"/>
          <w:color w:val="auto"/>
          <w:szCs w:val="20"/>
          <w:lang w:val="pt-BR"/>
        </w:rPr>
        <w:t>Salvo se acordado de outra forma, a Hexagon terá o direito de destruir informações pessoalmente identificáveis ​​de funcionários e fornecedores do Cliente que operam o equipamento de mineração do Cliente após trinta (30) dias, de acordo com a Seção 16.17 aqui indicada. A Hexagon deve processar as informações pessoalmente identificáveis ​​dos operadores de equipamentos de mineração do Cliente apenas para os fins estabelecidos nas regras de proteção de dados aplicáveis aos Produtos.</w:t>
      </w:r>
    </w:p>
    <w:p w14:paraId="635189D6" w14:textId="77777777" w:rsidR="00FA6ECA" w:rsidRPr="00A67C91" w:rsidRDefault="00FA6ECA" w:rsidP="00FA6ECA">
      <w:pPr>
        <w:jc w:val="both"/>
        <w:rPr>
          <w:rFonts w:cs="Arial"/>
          <w:color w:val="auto"/>
          <w:szCs w:val="20"/>
          <w:lang w:val="pt-BR"/>
        </w:rPr>
      </w:pPr>
    </w:p>
    <w:p w14:paraId="4A21D18D" w14:textId="77777777" w:rsidR="00FA6ECA" w:rsidRPr="00A67C91" w:rsidRDefault="00FA6ECA" w:rsidP="00FA6ECA">
      <w:pPr>
        <w:jc w:val="both"/>
        <w:rPr>
          <w:rFonts w:cs="Arial"/>
          <w:color w:val="auto"/>
          <w:szCs w:val="20"/>
          <w:lang w:val="pt-BR"/>
        </w:rPr>
      </w:pPr>
      <w:r w:rsidRPr="00A67C91">
        <w:rPr>
          <w:rFonts w:cs="Arial"/>
          <w:b/>
          <w:color w:val="auto"/>
          <w:szCs w:val="20"/>
          <w:lang w:val="pt-BR"/>
        </w:rPr>
        <w:t>6.</w:t>
      </w:r>
      <w:r w:rsidRPr="00A67C91">
        <w:rPr>
          <w:rFonts w:cs="Arial"/>
          <w:color w:val="auto"/>
          <w:szCs w:val="20"/>
          <w:lang w:val="pt-BR"/>
        </w:rPr>
        <w:t xml:space="preserve"> </w:t>
      </w:r>
      <w:r w:rsidRPr="00A67C91">
        <w:rPr>
          <w:rFonts w:cs="Arial"/>
          <w:b/>
          <w:color w:val="auto"/>
          <w:szCs w:val="20"/>
          <w:u w:val="single"/>
          <w:lang w:val="pt-BR"/>
        </w:rPr>
        <w:t>Propriedade Intelectual</w:t>
      </w:r>
      <w:r w:rsidRPr="00A67C91">
        <w:rPr>
          <w:rFonts w:cs="Arial"/>
          <w:color w:val="auto"/>
          <w:szCs w:val="20"/>
          <w:lang w:val="pt-BR"/>
        </w:rPr>
        <w:t>. Nenhum direito ou licença é concedido ao Cliente, exceto conforme expressamente estabelecido no Contrato. A Hexagon ou seu(s) licenciador(es) possuem e retêm todos os direitos de propriedade intelectual ("</w:t>
      </w:r>
      <w:r w:rsidRPr="00A67C91">
        <w:rPr>
          <w:rFonts w:cs="Arial"/>
          <w:b/>
          <w:color w:val="auto"/>
          <w:szCs w:val="20"/>
          <w:lang w:val="pt-BR"/>
        </w:rPr>
        <w:t>PI</w:t>
      </w:r>
      <w:r w:rsidRPr="00A67C91">
        <w:rPr>
          <w:rFonts w:cs="Arial"/>
          <w:color w:val="auto"/>
          <w:szCs w:val="20"/>
          <w:lang w:val="pt-BR"/>
        </w:rPr>
        <w:t>") dos Produtos (inclusive todas as cópias), quaisquer modificações ou seus derivados, sejam feitos pela Hexagon, pelo Cliente ou por terceiros. Isso inclui direitos de PI nos Produtos, Documentação e direitos de propriedade industrial e intelectual em todo o mundo, incluindo direitos autorais, patentes, marcas registradas, designs, segredos comerciais, novas ideias, know-how, códigos-fonte, algoritmos, direitos morais, informações confidenciais e layouts de circuito. Isso também se aplica a todos os conceitos, direitos autorais, criações, descobertas, derivados, aprimoramentos, melhorias, inovações, invenções, técnicas e outros direitos de propriedade relacionados aos Produtos e Documentação produzidos pela Hexagon, pelo Cliente ou por terceiros. Esses direitos de PI são protegidos por inúmeras leis e tratados locais e internacionais. Não obstante o acima exposto, o Cliente retém todos os direitos de PI sobre seus dados e sobre os dados gerados pelos Produtos correspondentes.</w:t>
      </w:r>
    </w:p>
    <w:p w14:paraId="0E70DCE7" w14:textId="77777777" w:rsidR="00FA6ECA" w:rsidRPr="00A67C91" w:rsidRDefault="00FA6ECA" w:rsidP="00FA6ECA">
      <w:pPr>
        <w:jc w:val="both"/>
        <w:rPr>
          <w:rFonts w:cs="Arial"/>
          <w:color w:val="auto"/>
          <w:szCs w:val="20"/>
          <w:lang w:val="pt-BR"/>
        </w:rPr>
      </w:pPr>
    </w:p>
    <w:p w14:paraId="1AD732C2"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6.1. </w:t>
      </w:r>
      <w:r w:rsidRPr="00A67C91">
        <w:rPr>
          <w:rFonts w:cs="Arial"/>
          <w:b/>
          <w:color w:val="auto"/>
          <w:szCs w:val="20"/>
          <w:u w:val="single"/>
          <w:lang w:val="pt-BR"/>
        </w:rPr>
        <w:t>PI de Trabalhos</w:t>
      </w:r>
      <w:r w:rsidRPr="00A67C91">
        <w:rPr>
          <w:rFonts w:cs="Arial"/>
          <w:color w:val="auto"/>
          <w:szCs w:val="20"/>
          <w:lang w:val="pt-BR"/>
        </w:rPr>
        <w:t>. O Cliente concorda em notificar a Hexagon sobre quaisquer problemas com os Produtos. Além disso, a Hexagon agradece o feedback e as ideias do Cliente para melhorias nos Produtos. Quaisquer Direitos de Propriedade Intelectual criados no decorrer da execução deste Contrato, incluindo todos os softwares adicionais ou processos de trabalho criados por ou em nome da Hexagon, permanecerão como propriedade exclusiva da Hexagon (“</w:t>
      </w:r>
      <w:r w:rsidRPr="00A67C91">
        <w:rPr>
          <w:rFonts w:cs="Arial"/>
          <w:b/>
          <w:color w:val="auto"/>
          <w:szCs w:val="20"/>
          <w:lang w:val="pt-BR"/>
        </w:rPr>
        <w:t>PI de Trabalho</w:t>
      </w:r>
      <w:r w:rsidRPr="00A67C91">
        <w:rPr>
          <w:rFonts w:cs="Arial"/>
          <w:color w:val="auto"/>
          <w:szCs w:val="20"/>
          <w:lang w:val="pt-BR"/>
        </w:rPr>
        <w:t>”). Se o Cliente gerar PI de Trabalho, ele cederá incondicionalmente e irrevogavelmente à Hexagon, todo o seu direito, título e participação a todos os direitos de PI (incluindo, sem limitação, todas as patentes, direitos autorais, segredos comerciais, novas ideias, marcas registradas, códigos-fonte, algoritmos, direito moral ou outros direitos de PI) que o Cliente poderá agora ou no futuro ter em relação aos Produtos (incluindo quaisquer direitos em trabalhos derivados ou melhorias de patentes relacionadas a qualquer um deles), sejam detidos ou adquiridos por força de lei, contrato, cessão ou de outra forma. O Cliente entende que a PI de Trabalho poderá ser usada por ou em nome da Hexagon para qualquer finalidade, mas a Hexagon não será obrigada a usar qualquer PI de Trabalho.</w:t>
      </w:r>
    </w:p>
    <w:p w14:paraId="4CC2EFBA" w14:textId="77777777" w:rsidR="00FA6ECA" w:rsidRPr="00A67C91" w:rsidRDefault="00FA6ECA" w:rsidP="00FA6ECA">
      <w:pPr>
        <w:jc w:val="both"/>
        <w:rPr>
          <w:rFonts w:cs="Arial"/>
          <w:color w:val="auto"/>
          <w:szCs w:val="20"/>
          <w:lang w:val="pt-BR"/>
        </w:rPr>
      </w:pPr>
    </w:p>
    <w:p w14:paraId="6D7395B3" w14:textId="77777777" w:rsidR="00FA6ECA" w:rsidRPr="00A67C91" w:rsidRDefault="00FA6ECA" w:rsidP="00FA6ECA">
      <w:pPr>
        <w:jc w:val="both"/>
        <w:rPr>
          <w:rFonts w:cs="Arial"/>
          <w:color w:val="auto"/>
          <w:szCs w:val="20"/>
          <w:lang w:val="pt-BR"/>
        </w:rPr>
      </w:pPr>
      <w:r w:rsidRPr="00A67C91">
        <w:rPr>
          <w:rFonts w:cs="Arial"/>
          <w:b/>
          <w:color w:val="auto"/>
          <w:szCs w:val="20"/>
          <w:lang w:val="pt-BR"/>
        </w:rPr>
        <w:t>7.</w:t>
      </w:r>
      <w:r w:rsidRPr="00A67C91">
        <w:rPr>
          <w:rFonts w:cs="Arial"/>
          <w:color w:val="auto"/>
          <w:szCs w:val="20"/>
          <w:lang w:val="pt-BR"/>
        </w:rPr>
        <w:t xml:space="preserve"> </w:t>
      </w:r>
      <w:r w:rsidRPr="00A67C91">
        <w:rPr>
          <w:rFonts w:cs="Arial"/>
          <w:b/>
          <w:color w:val="auto"/>
          <w:szCs w:val="20"/>
          <w:u w:val="single"/>
          <w:lang w:val="pt-BR"/>
        </w:rPr>
        <w:t>Informações Confidenciais</w:t>
      </w:r>
      <w:r w:rsidRPr="00A67C91">
        <w:rPr>
          <w:rFonts w:cs="Arial"/>
          <w:color w:val="auto"/>
          <w:szCs w:val="20"/>
          <w:lang w:val="pt-BR"/>
        </w:rPr>
        <w:t>. "</w:t>
      </w:r>
      <w:r w:rsidRPr="00A67C91">
        <w:rPr>
          <w:rFonts w:cs="Arial"/>
          <w:b/>
          <w:color w:val="auto"/>
          <w:szCs w:val="20"/>
          <w:lang w:val="pt-BR"/>
        </w:rPr>
        <w:t>IC</w:t>
      </w:r>
      <w:r w:rsidRPr="00A67C91">
        <w:rPr>
          <w:rFonts w:cs="Arial"/>
          <w:color w:val="auto"/>
          <w:szCs w:val="20"/>
          <w:lang w:val="pt-BR"/>
        </w:rPr>
        <w:t xml:space="preserve">" significa segredos comerciais e outras informações confidenciais de qualquer uma das partes, incluindo, sem limitação, especificações do produto, documentação, tecnologias, arquiteturas, sistemas, dados, fórmulas, know-how, processos, designs, códigos-fonte, </w:t>
      </w:r>
      <w:r w:rsidRPr="00A67C91">
        <w:rPr>
          <w:rFonts w:cs="Arial"/>
          <w:color w:val="auto"/>
          <w:szCs w:val="20"/>
          <w:lang w:val="pt-BR"/>
        </w:rPr>
        <w:lastRenderedPageBreak/>
        <w:t>algoritmos, fotografias, amostras, pesquisas e desenvolvimento, listas de preços, informações de clientes, estudos de mercado, propostas, negociações, vendas, orçamentos, informações financeiras e outras informações que, por sua natureza, são consideradas confidenciais. Ambas as partes terão o cuidado de proteger a IC de uso não autorizado e de não divulgá-la a qualquer outra parte. Quando a IC for trocada entre as partes, as disposições de confidencialidade estabelecidas no Acordo de Confidencialidade anexado a estes Termos e Condições Gerais se aplicarão, sejam divulgadas por uma parte a outra por meio de Compra, Subscrição ou demonstração/teste.</w:t>
      </w:r>
    </w:p>
    <w:p w14:paraId="0642D9C9" w14:textId="77777777" w:rsidR="00FA6ECA" w:rsidRPr="00A67C91" w:rsidRDefault="00FA6ECA" w:rsidP="00FA6ECA">
      <w:pPr>
        <w:ind w:left="180"/>
        <w:jc w:val="both"/>
        <w:rPr>
          <w:rFonts w:cs="Arial"/>
          <w:color w:val="auto"/>
          <w:szCs w:val="20"/>
          <w:lang w:val="pt-BR"/>
        </w:rPr>
      </w:pPr>
    </w:p>
    <w:p w14:paraId="4DA99AE8"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7.1. </w:t>
      </w:r>
      <w:r w:rsidRPr="00A67C91">
        <w:rPr>
          <w:rFonts w:cs="Arial"/>
          <w:b/>
          <w:color w:val="auto"/>
          <w:szCs w:val="20"/>
          <w:u w:val="single"/>
          <w:lang w:val="pt-BR"/>
        </w:rPr>
        <w:t>Divulgação</w:t>
      </w:r>
      <w:r w:rsidRPr="00A67C91">
        <w:rPr>
          <w:rFonts w:cs="Arial"/>
          <w:color w:val="auto"/>
          <w:szCs w:val="20"/>
          <w:lang w:val="pt-BR"/>
        </w:rPr>
        <w:t>. O Cliente não deverá divulgar ou usar a IC da Hexagon. Além disso, o Cliente deverá empregar medidas razoáveis para garantir que a IC seja mantida em sigilo. A Hexagon concorda que o Cliente poderá compartilhar a IC com funcionários, executivos, diretores e fornecedores conforme razoavelmente necessário para cumprir este Contrato. A IC pode ser divulgada se exigido pela lei em vigor ou pelas regras de uma bolsa de valores em que os títulos do Cliente estejam listados, se o Cliente: (i) antes de divulgar a IC, fornecer um aviso à Hexagon, cooperar totalmente com a Hexagon em seus esforços para evitar divulgação e tomar todas as medidas razoáveis (sejam exigidas pela Hexagon ou não) para manter a IC em sigilo; e (ii) divulgar a quantidade mínima de IC necessária para cumprir qualquer lei ou regra aplicável. Não obstante o acima exposto, em nenhum caso o Cliente divulgará a IC da Hexagon a qualquer concorrente da Hexagon.</w:t>
      </w:r>
    </w:p>
    <w:p w14:paraId="7EA89A88" w14:textId="77777777" w:rsidR="00FA6ECA" w:rsidRPr="00A67C91" w:rsidRDefault="00FA6ECA" w:rsidP="00FA6ECA">
      <w:pPr>
        <w:ind w:left="567" w:hanging="387"/>
        <w:jc w:val="both"/>
        <w:rPr>
          <w:rFonts w:cs="Arial"/>
          <w:color w:val="auto"/>
          <w:szCs w:val="20"/>
          <w:lang w:val="pt-BR"/>
        </w:rPr>
      </w:pPr>
    </w:p>
    <w:p w14:paraId="253D54F6"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7.2 </w:t>
      </w:r>
      <w:r w:rsidRPr="00A67C91">
        <w:rPr>
          <w:rFonts w:cs="Arial"/>
          <w:b/>
          <w:color w:val="auto"/>
          <w:szCs w:val="20"/>
          <w:u w:val="single"/>
          <w:lang w:val="pt-BR"/>
        </w:rPr>
        <w:t>Exceções à Confidencialidade</w:t>
      </w:r>
      <w:r w:rsidRPr="00A67C91">
        <w:rPr>
          <w:rFonts w:cs="Arial"/>
          <w:color w:val="auto"/>
          <w:szCs w:val="20"/>
          <w:lang w:val="pt-BR"/>
        </w:rPr>
        <w:t>. A IC não inclui informações (i) de domínio público, exceto em razão de uma violação deste Contrato ou outra obrigação de sigilo; (ii) desenvolvidas de forma independente pelo Cliente, sem acesso ou uso da IC da Hexagon; ou (iii) já conhecidas pelo Cliente independentemente de sua interação com a Hexagon e livre de qualquer obrigação de sigilo.</w:t>
      </w:r>
    </w:p>
    <w:p w14:paraId="3CF11717" w14:textId="77777777" w:rsidR="00FA6ECA" w:rsidRPr="00A67C91" w:rsidRDefault="00FA6ECA" w:rsidP="00FA6ECA">
      <w:pPr>
        <w:ind w:left="567" w:hanging="387"/>
        <w:jc w:val="both"/>
        <w:rPr>
          <w:rFonts w:cs="Arial"/>
          <w:color w:val="auto"/>
          <w:szCs w:val="20"/>
          <w:lang w:val="pt-BR"/>
        </w:rPr>
      </w:pPr>
    </w:p>
    <w:p w14:paraId="080FB044"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7.3 </w:t>
      </w:r>
      <w:r w:rsidRPr="00A67C91">
        <w:rPr>
          <w:rFonts w:cs="Arial"/>
          <w:b/>
          <w:color w:val="auto"/>
          <w:szCs w:val="20"/>
          <w:u w:val="single"/>
          <w:lang w:val="pt-BR"/>
        </w:rPr>
        <w:t>Destruição e/ou Devolução de IC</w:t>
      </w:r>
      <w:r w:rsidRPr="00A67C91">
        <w:rPr>
          <w:rFonts w:cs="Arial"/>
          <w:color w:val="auto"/>
          <w:szCs w:val="20"/>
          <w:lang w:val="pt-BR"/>
        </w:rPr>
        <w:t>. O Cliente deverá destruir ou devolver a IC em sua posse (exceto a IC necessária para usar os Produtos de acordo com o Contrato, enquanto o Contrato conceder o direito de usar os Produtos) após o término do Contrato ou mediante solicitação por escrito da Hexagon. Não obstante o acima exposto, no prazo de dez (10) dias úteis após o término deste Contrato ou do respectivo Pedido, todos os documentos ou registros, incluindo todas as IC, devem ser devolvidos à Parte a que pertencerem ou destruídos, se solicitado por tal parte.</w:t>
      </w:r>
    </w:p>
    <w:p w14:paraId="5CE9CB30" w14:textId="77777777" w:rsidR="00FA6ECA" w:rsidRPr="00A67C91" w:rsidRDefault="00FA6ECA" w:rsidP="00FA6ECA">
      <w:pPr>
        <w:jc w:val="both"/>
        <w:rPr>
          <w:rFonts w:cs="Arial"/>
          <w:color w:val="auto"/>
          <w:sz w:val="22"/>
          <w:szCs w:val="22"/>
          <w:lang w:val="pt-BR"/>
        </w:rPr>
      </w:pPr>
    </w:p>
    <w:p w14:paraId="1024C9E8" w14:textId="77777777" w:rsidR="00FA6ECA" w:rsidRPr="00A67C91" w:rsidRDefault="00FA6ECA" w:rsidP="00FA6ECA">
      <w:pPr>
        <w:rPr>
          <w:rFonts w:cs="Arial"/>
          <w:color w:val="auto"/>
          <w:szCs w:val="20"/>
          <w:lang w:val="pt-BR"/>
        </w:rPr>
      </w:pPr>
      <w:r w:rsidRPr="00A67C91">
        <w:rPr>
          <w:rFonts w:cs="Arial"/>
          <w:b/>
          <w:color w:val="auto"/>
          <w:szCs w:val="20"/>
          <w:lang w:val="pt-BR"/>
        </w:rPr>
        <w:t>8.</w:t>
      </w:r>
      <w:r w:rsidRPr="00A67C91">
        <w:rPr>
          <w:rFonts w:cs="Arial"/>
          <w:color w:val="auto"/>
          <w:szCs w:val="20"/>
          <w:lang w:val="pt-BR"/>
        </w:rPr>
        <w:t xml:space="preserve"> </w:t>
      </w:r>
      <w:r w:rsidRPr="00A67C91">
        <w:rPr>
          <w:rFonts w:cs="Arial"/>
          <w:b/>
          <w:color w:val="auto"/>
          <w:szCs w:val="20"/>
          <w:u w:val="single"/>
          <w:lang w:val="pt-BR"/>
        </w:rPr>
        <w:t>Declarações das Partes</w:t>
      </w:r>
      <w:r w:rsidRPr="00A67C91">
        <w:rPr>
          <w:rFonts w:cs="Arial"/>
          <w:color w:val="auto"/>
          <w:szCs w:val="20"/>
          <w:lang w:val="pt-BR"/>
        </w:rPr>
        <w:t>.</w:t>
      </w:r>
    </w:p>
    <w:p w14:paraId="6E62781C" w14:textId="77777777" w:rsidR="00FA6ECA" w:rsidRPr="00A67C91" w:rsidRDefault="00FA6ECA" w:rsidP="00FA6ECA">
      <w:pPr>
        <w:ind w:left="180"/>
        <w:jc w:val="both"/>
        <w:rPr>
          <w:rFonts w:cs="Arial"/>
          <w:color w:val="auto"/>
          <w:szCs w:val="20"/>
          <w:lang w:val="pt-BR"/>
        </w:rPr>
      </w:pPr>
    </w:p>
    <w:p w14:paraId="52A6B82A" w14:textId="77777777" w:rsidR="00FA6ECA" w:rsidRPr="00A67C91" w:rsidRDefault="00FA6ECA" w:rsidP="00FA6ECA">
      <w:pPr>
        <w:ind w:left="180"/>
        <w:jc w:val="both"/>
        <w:rPr>
          <w:rFonts w:cs="Arial"/>
          <w:color w:val="auto"/>
          <w:szCs w:val="20"/>
          <w:lang w:val="pt-BR"/>
        </w:rPr>
      </w:pPr>
      <w:r w:rsidRPr="00A67C91">
        <w:rPr>
          <w:rFonts w:cs="Arial"/>
          <w:color w:val="auto"/>
          <w:szCs w:val="20"/>
          <w:lang w:val="pt-BR"/>
        </w:rPr>
        <w:t xml:space="preserve">8.1 </w:t>
      </w:r>
      <w:r w:rsidRPr="00A67C91">
        <w:rPr>
          <w:rFonts w:cs="Arial"/>
          <w:b/>
          <w:color w:val="auto"/>
          <w:szCs w:val="20"/>
          <w:u w:val="single"/>
          <w:lang w:val="pt-BR"/>
        </w:rPr>
        <w:t>Declarações Gerais da Hexagon</w:t>
      </w:r>
      <w:r w:rsidRPr="00A67C91">
        <w:rPr>
          <w:rFonts w:cs="Arial"/>
          <w:color w:val="auto"/>
          <w:szCs w:val="20"/>
          <w:lang w:val="pt-BR"/>
        </w:rPr>
        <w:t>. A Hexagon declara e garante que:</w:t>
      </w:r>
    </w:p>
    <w:p w14:paraId="60F415F9" w14:textId="77777777" w:rsidR="00FA6ECA" w:rsidRPr="00A67C91" w:rsidRDefault="00FA6ECA" w:rsidP="00FA6ECA">
      <w:pPr>
        <w:ind w:left="180"/>
        <w:jc w:val="both"/>
        <w:rPr>
          <w:rFonts w:cs="Arial"/>
          <w:color w:val="auto"/>
          <w:szCs w:val="20"/>
          <w:lang w:val="pt-BR"/>
        </w:rPr>
      </w:pPr>
    </w:p>
    <w:p w14:paraId="0EFBCED2"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(A) </w:t>
      </w:r>
      <w:r w:rsidRPr="00A67C91">
        <w:rPr>
          <w:rFonts w:cs="Arial"/>
          <w:color w:val="auto"/>
          <w:szCs w:val="20"/>
          <w:lang w:val="pt-BR"/>
        </w:rPr>
        <w:tab/>
        <w:t>Tem o direito legal de celebrar este Contrato e cumprirá todas as leis, regras, regulamentos e outros requisitos aplicáveis e de qualquer órgão governamental estadual, estrangeiro e local em relação à venda ou assinatura dos Produtos;</w:t>
      </w:r>
    </w:p>
    <w:p w14:paraId="6D3A0E33" w14:textId="77777777" w:rsidR="00FA6ECA" w:rsidRPr="00A67C91" w:rsidRDefault="00FA6ECA" w:rsidP="00FA6ECA">
      <w:pPr>
        <w:ind w:left="993" w:hanging="426"/>
        <w:jc w:val="both"/>
        <w:rPr>
          <w:rFonts w:cs="Arial"/>
          <w:color w:val="auto"/>
          <w:szCs w:val="20"/>
          <w:lang w:val="pt-BR"/>
        </w:rPr>
      </w:pPr>
    </w:p>
    <w:p w14:paraId="673FB868"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(B) </w:t>
      </w:r>
      <w:r w:rsidRPr="00A67C91">
        <w:rPr>
          <w:rFonts w:cs="Arial"/>
          <w:color w:val="auto"/>
          <w:szCs w:val="20"/>
          <w:lang w:val="pt-BR"/>
        </w:rPr>
        <w:tab/>
        <w:t>Cumprirá todas as leis, estatutos, regulamentos e códigos aplicáveis relacionados a medidas antissuborno e anticorrupção, incluindo, mas não se limitando à Lei de Suborno do Reino Unido de 2010, Lei de Práticas de Corrupção no Exterior dos EUA, Lei de Suborno de Funcionários Públicos Estrangeiros da Austrália de 1999 e qualquer outra lei relevante. A Hexagon garante que mantém e sempre manterá políticas e procedimentos adequados para garantir tal conformidade.</w:t>
      </w:r>
    </w:p>
    <w:p w14:paraId="12924D9E" w14:textId="77777777" w:rsidR="00FA6ECA" w:rsidRPr="00A67C91" w:rsidRDefault="00FA6ECA" w:rsidP="00FA6ECA">
      <w:pPr>
        <w:ind w:left="180"/>
        <w:jc w:val="both"/>
        <w:rPr>
          <w:rFonts w:cs="Arial"/>
          <w:color w:val="auto"/>
          <w:szCs w:val="20"/>
          <w:lang w:val="pt-BR"/>
        </w:rPr>
      </w:pPr>
    </w:p>
    <w:p w14:paraId="11B86617" w14:textId="77777777" w:rsidR="00FA6ECA" w:rsidRPr="00A67C91" w:rsidRDefault="00FA6ECA" w:rsidP="00FA6ECA">
      <w:pPr>
        <w:ind w:left="180"/>
        <w:jc w:val="both"/>
        <w:rPr>
          <w:rFonts w:cs="Arial"/>
          <w:color w:val="auto"/>
          <w:szCs w:val="20"/>
          <w:lang w:val="pt-BR"/>
        </w:rPr>
      </w:pPr>
      <w:r w:rsidRPr="00A67C91">
        <w:rPr>
          <w:rFonts w:cs="Arial"/>
          <w:color w:val="auto"/>
          <w:szCs w:val="20"/>
          <w:lang w:val="pt-BR"/>
        </w:rPr>
        <w:t xml:space="preserve">8.2. </w:t>
      </w:r>
      <w:r w:rsidRPr="00A67C91">
        <w:rPr>
          <w:rFonts w:cs="Arial"/>
          <w:b/>
          <w:color w:val="auto"/>
          <w:szCs w:val="20"/>
          <w:u w:val="single"/>
          <w:lang w:val="pt-BR"/>
        </w:rPr>
        <w:t>Declarações Gerais do Cliente</w:t>
      </w:r>
      <w:r w:rsidRPr="00A67C91">
        <w:rPr>
          <w:rFonts w:cs="Arial"/>
          <w:color w:val="auto"/>
          <w:szCs w:val="20"/>
          <w:lang w:val="pt-BR"/>
        </w:rPr>
        <w:t>. O Cliente declara e garante que:</w:t>
      </w:r>
    </w:p>
    <w:p w14:paraId="6A3142F7" w14:textId="77777777" w:rsidR="00FA6ECA" w:rsidRPr="00A67C91" w:rsidRDefault="00FA6ECA" w:rsidP="00FA6ECA">
      <w:pPr>
        <w:pStyle w:val="ListParagraph"/>
        <w:ind w:left="360"/>
        <w:jc w:val="both"/>
        <w:rPr>
          <w:rFonts w:ascii="Arial" w:hAnsi="Arial" w:cs="Arial"/>
          <w:sz w:val="20"/>
          <w:szCs w:val="20"/>
          <w:lang w:val="pt-BR"/>
        </w:rPr>
      </w:pPr>
    </w:p>
    <w:p w14:paraId="7EE2E9EC"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(A) </w:t>
      </w:r>
      <w:r w:rsidRPr="00A67C91">
        <w:rPr>
          <w:rFonts w:cs="Arial"/>
          <w:color w:val="auto"/>
          <w:szCs w:val="20"/>
          <w:lang w:val="pt-BR"/>
        </w:rPr>
        <w:tab/>
        <w:t>Tem o direito legal de celebrar este Contrato e cumprirá todas as leis, regras, regulamentos e outros requisitos aplicáveis de qualquer Estado aplicável, órgão governamental estrangeiro e local em relação à compra, licença, recebimento, uso e descarte dos Produtos e sempre manterá políticas e procedimentos adequados para garantir tal conformidade;</w:t>
      </w:r>
    </w:p>
    <w:p w14:paraId="62350E06" w14:textId="77777777" w:rsidR="00FA6ECA" w:rsidRPr="00A67C91" w:rsidRDefault="00FA6ECA" w:rsidP="00FA6ECA">
      <w:pPr>
        <w:ind w:left="993" w:hanging="426"/>
        <w:jc w:val="both"/>
        <w:rPr>
          <w:rFonts w:cs="Arial"/>
          <w:color w:val="auto"/>
          <w:szCs w:val="20"/>
          <w:lang w:val="pt-BR"/>
        </w:rPr>
      </w:pPr>
    </w:p>
    <w:p w14:paraId="2867EFCC"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lastRenderedPageBreak/>
        <w:t xml:space="preserve">(B) </w:t>
      </w:r>
      <w:r w:rsidRPr="00A67C91">
        <w:rPr>
          <w:rFonts w:cs="Arial"/>
          <w:color w:val="auto"/>
          <w:szCs w:val="20"/>
          <w:lang w:val="pt-BR"/>
        </w:rPr>
        <w:tab/>
        <w:t>Não carregará, trará, exportará, transferirá ou de qualquer forma transportará Produtos da Hexagon para qualquer país ou território onde tal presença seja proibida por políticas internacionais ou leis de exportação estabelecidas por todos os países cujas leis são aplicáveis;</w:t>
      </w:r>
    </w:p>
    <w:p w14:paraId="36672300" w14:textId="77777777" w:rsidR="00FA6ECA" w:rsidRPr="00A67C91" w:rsidRDefault="00FA6ECA" w:rsidP="00FA6ECA">
      <w:pPr>
        <w:ind w:left="993" w:hanging="426"/>
        <w:jc w:val="both"/>
        <w:rPr>
          <w:rFonts w:cs="Arial"/>
          <w:color w:val="auto"/>
          <w:szCs w:val="20"/>
          <w:lang w:val="pt-BR"/>
        </w:rPr>
      </w:pPr>
    </w:p>
    <w:p w14:paraId="2DB69230"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(C) </w:t>
      </w:r>
      <w:r w:rsidRPr="00A67C91">
        <w:rPr>
          <w:rFonts w:cs="Arial"/>
          <w:color w:val="auto"/>
          <w:szCs w:val="20"/>
          <w:lang w:val="pt-BR"/>
        </w:rPr>
        <w:tab/>
        <w:t>Cumprirá todas as leis, estatutos, regulamentos e códigos aplicáveis relacionados às medidas antissuborno e anticorrupção, incluindo, mas não se limitando à Lei de Suborno do Reino Unido de 2010, Lei de Práticas de Corrupção no Exterior dos EUA, Lei de Suborno de Funcionários Públicos Estrangeiros da Austrália de 1999 e qualquer outra lei relevante. O Cliente garante que mantém e sempre manterá políticas e procedimentos adequados para garantir tal conformidade;</w:t>
      </w:r>
    </w:p>
    <w:p w14:paraId="50131773" w14:textId="77777777" w:rsidR="00FA6ECA" w:rsidRPr="00A67C91" w:rsidRDefault="00FA6ECA" w:rsidP="00FA6ECA">
      <w:pPr>
        <w:ind w:left="993" w:hanging="426"/>
        <w:jc w:val="both"/>
        <w:rPr>
          <w:rFonts w:cs="Arial"/>
          <w:color w:val="auto"/>
          <w:szCs w:val="20"/>
          <w:lang w:val="pt-BR"/>
        </w:rPr>
      </w:pPr>
    </w:p>
    <w:p w14:paraId="077772B8"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(D) </w:t>
      </w:r>
      <w:r w:rsidRPr="00A67C91">
        <w:rPr>
          <w:rFonts w:cs="Arial"/>
          <w:color w:val="auto"/>
          <w:szCs w:val="20"/>
          <w:lang w:val="pt-BR"/>
        </w:rPr>
        <w:tab/>
        <w:t>Não sublicenciará, cederá, revenderá, compartilhará, penhorará, alugará, doará ou de outra forma transferirá ou concederá quaisquer direitos sobre os Produtos ou Documentação relacionada ou componentes de qualquer forma a qualquer pessoa que não seja parte deste Contrato (exceto cessionários autorizados), ou usará os Produtos em um “balcão de serviços” ou acordo temporário de compartilhamento sem o consentimento prévio por escrito da Hexagon; e</w:t>
      </w:r>
    </w:p>
    <w:p w14:paraId="0C78AB74" w14:textId="77777777" w:rsidR="00FA6ECA" w:rsidRPr="00A67C91" w:rsidRDefault="00FA6ECA" w:rsidP="00FA6ECA">
      <w:pPr>
        <w:ind w:left="993" w:hanging="426"/>
        <w:jc w:val="both"/>
        <w:rPr>
          <w:rFonts w:cs="Arial"/>
          <w:color w:val="auto"/>
          <w:szCs w:val="20"/>
          <w:lang w:val="pt-BR"/>
        </w:rPr>
      </w:pPr>
    </w:p>
    <w:p w14:paraId="0C5633DF" w14:textId="77777777" w:rsidR="00FA6ECA" w:rsidRPr="00A67C91" w:rsidRDefault="00FA6ECA" w:rsidP="00FA6ECA">
      <w:pPr>
        <w:ind w:left="993" w:hanging="426"/>
        <w:jc w:val="both"/>
        <w:rPr>
          <w:rFonts w:cs="Arial"/>
          <w:color w:val="auto"/>
          <w:szCs w:val="20"/>
          <w:lang w:val="pt-BR"/>
        </w:rPr>
      </w:pPr>
      <w:r w:rsidRPr="00A67C91">
        <w:rPr>
          <w:rFonts w:cs="Arial"/>
          <w:color w:val="auto"/>
          <w:szCs w:val="20"/>
          <w:lang w:val="pt-BR"/>
        </w:rPr>
        <w:t xml:space="preserve">(E) </w:t>
      </w:r>
      <w:r w:rsidRPr="00A67C91">
        <w:rPr>
          <w:rFonts w:cs="Arial"/>
          <w:color w:val="auto"/>
          <w:szCs w:val="20"/>
          <w:lang w:val="pt-BR"/>
        </w:rPr>
        <w:tab/>
        <w:t>É o único responsável pela precisão, confiabilidade e suficiência de todos os dados e especificações fornecidos à Hexagon e por qualquer tomada de decisão do Cliente como resultado de tais dados ou especificações ou da utilização de qualquer Produto.</w:t>
      </w:r>
    </w:p>
    <w:p w14:paraId="6210A45D" w14:textId="77777777" w:rsidR="00FA6ECA" w:rsidRPr="00A67C91" w:rsidRDefault="00FA6ECA" w:rsidP="00FA6ECA">
      <w:pPr>
        <w:ind w:left="360"/>
        <w:jc w:val="both"/>
        <w:rPr>
          <w:rFonts w:cs="Arial"/>
          <w:color w:val="auto"/>
          <w:szCs w:val="20"/>
          <w:lang w:val="pt-BR"/>
        </w:rPr>
      </w:pPr>
    </w:p>
    <w:p w14:paraId="337E6006" w14:textId="77777777" w:rsidR="00FA6ECA" w:rsidRPr="00A67C91" w:rsidRDefault="00FA6ECA" w:rsidP="00FA6ECA">
      <w:pPr>
        <w:jc w:val="both"/>
        <w:rPr>
          <w:rFonts w:cs="Arial"/>
          <w:smallCaps/>
          <w:color w:val="auto"/>
          <w:szCs w:val="20"/>
          <w:lang w:val="pt-BR"/>
        </w:rPr>
      </w:pPr>
      <w:r w:rsidRPr="00A67C91">
        <w:rPr>
          <w:rFonts w:cs="Arial"/>
          <w:b/>
          <w:smallCaps/>
          <w:color w:val="auto"/>
          <w:szCs w:val="20"/>
          <w:lang w:val="pt-BR"/>
        </w:rPr>
        <w:t>9.</w:t>
      </w:r>
      <w:r w:rsidRPr="00A67C91">
        <w:rPr>
          <w:rFonts w:cs="Arial"/>
          <w:smallCaps/>
          <w:color w:val="auto"/>
          <w:szCs w:val="20"/>
          <w:lang w:val="pt-BR"/>
        </w:rPr>
        <w:t xml:space="preserve"> </w:t>
      </w:r>
      <w:r w:rsidRPr="00A67C91">
        <w:rPr>
          <w:rFonts w:cs="Arial"/>
          <w:b/>
          <w:smallCaps/>
          <w:color w:val="auto"/>
          <w:szCs w:val="20"/>
          <w:u w:val="single"/>
          <w:lang w:val="pt-BR"/>
        </w:rPr>
        <w:t>Limitação do Dever de Indenizar.</w:t>
      </w:r>
    </w:p>
    <w:p w14:paraId="123690A9" w14:textId="77777777" w:rsidR="00FA6ECA" w:rsidRPr="00A67C91" w:rsidRDefault="00FA6ECA" w:rsidP="00FA6ECA">
      <w:pPr>
        <w:ind w:left="180"/>
        <w:jc w:val="both"/>
        <w:rPr>
          <w:rFonts w:cs="Arial"/>
          <w:smallCaps/>
          <w:color w:val="auto"/>
          <w:szCs w:val="20"/>
          <w:lang w:val="pt-BR"/>
        </w:rPr>
      </w:pPr>
    </w:p>
    <w:p w14:paraId="52586C00"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 xml:space="preserve">9.1. </w:t>
      </w:r>
      <w:r w:rsidRPr="00A67C91">
        <w:rPr>
          <w:rFonts w:cs="Arial"/>
          <w:b/>
          <w:smallCaps/>
          <w:color w:val="auto"/>
          <w:szCs w:val="20"/>
          <w:lang w:val="pt-BR"/>
        </w:rPr>
        <w:t>Perdas e Danos Indiretos</w:t>
      </w:r>
      <w:r w:rsidRPr="00A67C91">
        <w:rPr>
          <w:rFonts w:cs="Arial"/>
          <w:smallCaps/>
          <w:color w:val="auto"/>
          <w:szCs w:val="20"/>
          <w:lang w:val="pt-BR"/>
        </w:rPr>
        <w:t>. Sob nenhuma hipótese, uma parte ou seus funcionários, agentes, diretores ou conselheiros será indenizará a outra parte, seja ou não por inadimplemento contratual (incluindo culpa) ou de outra forma, por danos incidentais, consequenciais, especiais, indiretos, ou danos punitivos de qualquer tipo, ou custos de aquisição de produtos substitutos, ou pela perda de receitas, lucros cessantes (diretos e indiretos), perda de negócios, dados ou outras perdas financeiras decorrentes ou relacionadas a este contrato, mesmo que tal parte tenha sido advertida da possibilidade de tais danos.</w:t>
      </w:r>
    </w:p>
    <w:p w14:paraId="25341637" w14:textId="77777777" w:rsidR="00FA6ECA" w:rsidRPr="00A67C91" w:rsidRDefault="00FA6ECA" w:rsidP="00FA6ECA">
      <w:pPr>
        <w:ind w:left="567" w:hanging="387"/>
        <w:jc w:val="both"/>
        <w:rPr>
          <w:rFonts w:cs="Arial"/>
          <w:smallCaps/>
          <w:color w:val="auto"/>
          <w:szCs w:val="20"/>
          <w:lang w:val="pt-BR"/>
        </w:rPr>
      </w:pPr>
    </w:p>
    <w:p w14:paraId="5A450A21"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 xml:space="preserve">9.2. </w:t>
      </w:r>
      <w:r w:rsidRPr="00A67C91">
        <w:rPr>
          <w:rFonts w:cs="Arial"/>
          <w:b/>
          <w:smallCaps/>
          <w:color w:val="auto"/>
          <w:szCs w:val="20"/>
          <w:lang w:val="pt-BR"/>
        </w:rPr>
        <w:t>Perdas e Danos Diretos</w:t>
      </w:r>
      <w:r w:rsidRPr="00A67C91">
        <w:rPr>
          <w:rFonts w:cs="Arial"/>
          <w:smallCaps/>
          <w:color w:val="auto"/>
          <w:szCs w:val="20"/>
          <w:lang w:val="pt-BR"/>
        </w:rPr>
        <w:t>. Sem prejuízo do disposto acima, em nenhuma circunstância o dever da Hexagon de indenizar o Cliente excederá os valores totais faturados pela Hexagon ao Cliente pelos respectivos Produtos e pagos pelo Cliente à Hexagon nos doze meses anteriores ao evento que ensejou o dano ou perda correspondente. No caso em que nenhum Produto seja implicado ou que o Produto implicado não seja identificado, o dever de indenizar da Hexagon não excederá os montantes totais faturados pela Hexagon ao Cliente e pagos pelo Cliente à Hexagon nos doze meses anteriores ao evento que ensejou o dano ou a perda correspondente.</w:t>
      </w:r>
    </w:p>
    <w:p w14:paraId="25A27F23" w14:textId="77777777" w:rsidR="00FA6ECA" w:rsidRPr="00A67C91" w:rsidRDefault="00FA6ECA" w:rsidP="00FA6ECA">
      <w:pPr>
        <w:ind w:left="567" w:hanging="387"/>
        <w:jc w:val="both"/>
        <w:rPr>
          <w:rFonts w:cs="Arial"/>
          <w:color w:val="auto"/>
          <w:szCs w:val="20"/>
          <w:lang w:val="pt-BR"/>
        </w:rPr>
      </w:pPr>
    </w:p>
    <w:p w14:paraId="65F431D0"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 xml:space="preserve">9.3. Não obstante o disposto acima, o dever e a exclusão do dever de indenizar previstos neste contrato não se aplicarão nos casos em que o dano ou a perda sejam resultantes ou causados por dolo, má-fé, conduta fraudulenta ou destruição irresponsável; descumprimento da lei; ou, no caso do cliente, perdas ou despesas por parte da Hexagon oriundas do cancelamento ou do atraso, da violação de direitos de PI da Hexagon, do descumprimento das condições de garantia ou da falha no pagamento dos valores vencidos. </w:t>
      </w:r>
    </w:p>
    <w:p w14:paraId="6427D911" w14:textId="77777777" w:rsidR="00FA6ECA" w:rsidRPr="00A67C91" w:rsidRDefault="00FA6ECA" w:rsidP="00FA6ECA">
      <w:pPr>
        <w:ind w:left="567" w:hanging="387"/>
        <w:jc w:val="both"/>
        <w:rPr>
          <w:rFonts w:cs="Arial"/>
          <w:smallCaps/>
          <w:color w:val="auto"/>
          <w:szCs w:val="20"/>
          <w:lang w:val="pt-BR"/>
        </w:rPr>
      </w:pPr>
    </w:p>
    <w:p w14:paraId="67BF5F94"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 xml:space="preserve">9.4. As exclusões e limitações de responsabilidade acima mencionadas serão aplicadas mesmo se qualquer reparação aqui prevista falhar em sua finalidade essencial. se a lei aplicável não permitir a exclusão ou a limitação completa do dever de indenizar conforme aqui estabelecidas, a indenização pelas perdas e danos sujeitar-se-á, então, aos limites estabelecidos pela legislação vigente. </w:t>
      </w:r>
    </w:p>
    <w:p w14:paraId="33C29B04" w14:textId="77777777" w:rsidR="00FA6ECA" w:rsidRPr="00A67C91" w:rsidRDefault="00FA6ECA" w:rsidP="00FA6ECA">
      <w:pPr>
        <w:ind w:left="567" w:hanging="387"/>
        <w:jc w:val="both"/>
        <w:rPr>
          <w:rFonts w:cs="Arial"/>
          <w:smallCaps/>
          <w:color w:val="auto"/>
          <w:szCs w:val="20"/>
          <w:lang w:val="pt-BR"/>
        </w:rPr>
      </w:pPr>
    </w:p>
    <w:p w14:paraId="4BC1B1A8"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lastRenderedPageBreak/>
        <w:t xml:space="preserve">9.5. A Hexagon não se responsabiliza por qualquer informação fornecida pelo cliente ou pela omissão de qualquer informação que deveria ter sido fornecida pelo Cliente. </w:t>
      </w:r>
    </w:p>
    <w:p w14:paraId="60C965A0" w14:textId="77777777" w:rsidR="00FA6ECA" w:rsidRPr="00A67C91" w:rsidRDefault="00FA6ECA" w:rsidP="00FA6ECA">
      <w:pPr>
        <w:ind w:left="567" w:hanging="387"/>
        <w:jc w:val="both"/>
        <w:rPr>
          <w:rFonts w:cs="Arial"/>
          <w:smallCaps/>
          <w:color w:val="auto"/>
          <w:szCs w:val="20"/>
          <w:lang w:val="pt-BR"/>
        </w:rPr>
      </w:pPr>
    </w:p>
    <w:p w14:paraId="294CA509"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9.6. A Hexagon não se responsabiliza, em hipótese alguma, pela suspensão ou cancelamento de remessas ou pelo desempenho de seus Produtos aqui previstos, se qualquer destes estiver sujeito a uma alegação plausível de violação de propriedade intelectual no entendimento razoável da Hexagon.</w:t>
      </w:r>
    </w:p>
    <w:p w14:paraId="7C64120C" w14:textId="77777777" w:rsidR="00FA6ECA" w:rsidRPr="00A67C91" w:rsidRDefault="00FA6ECA" w:rsidP="00FA6ECA">
      <w:pPr>
        <w:ind w:left="567" w:hanging="387"/>
        <w:jc w:val="both"/>
        <w:rPr>
          <w:rFonts w:cs="Arial"/>
          <w:smallCaps/>
          <w:color w:val="auto"/>
          <w:szCs w:val="20"/>
          <w:lang w:val="pt-BR"/>
        </w:rPr>
      </w:pPr>
    </w:p>
    <w:p w14:paraId="26155703" w14:textId="77777777" w:rsidR="00FA6ECA" w:rsidRPr="00A67C91" w:rsidRDefault="00FA6ECA" w:rsidP="00FA6ECA">
      <w:pPr>
        <w:ind w:left="567" w:hanging="387"/>
        <w:jc w:val="both"/>
        <w:rPr>
          <w:rFonts w:cs="Arial"/>
          <w:smallCaps/>
          <w:color w:val="auto"/>
          <w:szCs w:val="20"/>
          <w:lang w:val="pt-BR"/>
        </w:rPr>
      </w:pPr>
      <w:r w:rsidRPr="00A67C91">
        <w:rPr>
          <w:rFonts w:cs="Arial"/>
          <w:smallCaps/>
          <w:color w:val="auto"/>
          <w:szCs w:val="20"/>
          <w:lang w:val="pt-BR"/>
        </w:rPr>
        <w:t xml:space="preserve">9.7. A Hexagon não se responsabiliza por quaisquer danos, perdas, custos ou despesas resultantes do engajamento de terceiros contratados pelo Cliente para prestar Serviços, prover treinamento ou manutenção relacionados a qualquer dos Produtos da Hexagon. </w:t>
      </w:r>
    </w:p>
    <w:p w14:paraId="1BB7E349" w14:textId="77777777" w:rsidR="00FA6ECA" w:rsidRPr="00A67C91" w:rsidRDefault="00FA6ECA" w:rsidP="00FA6ECA">
      <w:pPr>
        <w:ind w:left="180"/>
        <w:jc w:val="both"/>
        <w:rPr>
          <w:rFonts w:cs="Arial"/>
          <w:smallCaps/>
          <w:color w:val="auto"/>
          <w:szCs w:val="20"/>
          <w:lang w:val="pt-BR"/>
        </w:rPr>
      </w:pPr>
    </w:p>
    <w:p w14:paraId="78972F26" w14:textId="77777777" w:rsidR="00FA6ECA" w:rsidRPr="00A67C91" w:rsidRDefault="00FA6ECA" w:rsidP="00FA6ECA">
      <w:pPr>
        <w:jc w:val="both"/>
        <w:rPr>
          <w:rFonts w:cs="Arial"/>
          <w:color w:val="auto"/>
          <w:szCs w:val="20"/>
          <w:lang w:val="pt-BR"/>
        </w:rPr>
      </w:pPr>
      <w:r w:rsidRPr="00A67C91">
        <w:rPr>
          <w:rFonts w:cs="Arial"/>
          <w:b/>
          <w:color w:val="auto"/>
          <w:szCs w:val="20"/>
          <w:lang w:val="pt-BR"/>
        </w:rPr>
        <w:t>10.</w:t>
      </w:r>
      <w:r w:rsidRPr="00A67C91">
        <w:rPr>
          <w:rFonts w:cs="Arial"/>
          <w:color w:val="auto"/>
          <w:szCs w:val="20"/>
          <w:lang w:val="pt-BR"/>
        </w:rPr>
        <w:t xml:space="preserve"> </w:t>
      </w:r>
      <w:r w:rsidRPr="00A67C91">
        <w:rPr>
          <w:rFonts w:cs="Arial"/>
          <w:b/>
          <w:color w:val="auto"/>
          <w:szCs w:val="20"/>
          <w:u w:val="single"/>
          <w:lang w:val="pt-BR"/>
        </w:rPr>
        <w:t>Indenização</w:t>
      </w:r>
      <w:r w:rsidRPr="00A67C91">
        <w:rPr>
          <w:rFonts w:cs="Arial"/>
          <w:color w:val="auto"/>
          <w:szCs w:val="20"/>
          <w:lang w:val="pt-BR"/>
        </w:rPr>
        <w:t>.</w:t>
      </w:r>
    </w:p>
    <w:p w14:paraId="5AF8B785" w14:textId="77777777" w:rsidR="00FA6ECA" w:rsidRPr="00A67C91" w:rsidRDefault="00FA6ECA" w:rsidP="00FA6ECA">
      <w:pPr>
        <w:ind w:left="180"/>
        <w:jc w:val="both"/>
        <w:rPr>
          <w:rFonts w:cs="Arial"/>
          <w:color w:val="auto"/>
          <w:szCs w:val="20"/>
          <w:lang w:val="pt-BR"/>
        </w:rPr>
      </w:pPr>
    </w:p>
    <w:p w14:paraId="12A546C1"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10.1. A Hexagon indenizará e isentará o Cliente de quaisquer responsabilidades, acordos, penalidades, custos, danos, taxas, multas, perdas, julgamentos, responsabilidades e despesas (incluindo honorários advocatícios e custas razoáveis) (coletivamente denominado como "</w:t>
      </w:r>
      <w:r w:rsidRPr="00A67C91">
        <w:rPr>
          <w:rFonts w:cs="Arial"/>
          <w:b/>
          <w:color w:val="auto"/>
          <w:szCs w:val="20"/>
          <w:lang w:val="pt-BR"/>
        </w:rPr>
        <w:t>Danos</w:t>
      </w:r>
      <w:r w:rsidRPr="00A67C91">
        <w:rPr>
          <w:rFonts w:cs="Arial"/>
          <w:color w:val="auto"/>
          <w:szCs w:val="20"/>
          <w:lang w:val="pt-BR"/>
        </w:rPr>
        <w:t>") incorridos em função de quaisquer reclamações, alegações, processos, ações ou demandas de terceiros (coletivamente denominado “</w:t>
      </w:r>
      <w:r w:rsidRPr="00A67C91">
        <w:rPr>
          <w:rFonts w:cs="Arial"/>
          <w:b/>
          <w:color w:val="auto"/>
          <w:szCs w:val="20"/>
          <w:lang w:val="pt-BR"/>
        </w:rPr>
        <w:t>Reivindicações</w:t>
      </w:r>
      <w:r w:rsidRPr="00A67C91">
        <w:rPr>
          <w:rFonts w:cs="Arial"/>
          <w:color w:val="auto"/>
          <w:szCs w:val="20"/>
          <w:lang w:val="pt-BR"/>
        </w:rPr>
        <w:t xml:space="preserve">") decorrentes ou relacionadas a uma Reivindicação que alegue que um Produto Hexagon viola qualquer patente ou direito autoral existente a partir da data da aquisição dos Produtos, desde que: (i) o Cliente mantenha uma garantia válida pelo Produto; e (ii) o Produto for usado de acordo com os termos da Documentação e deste Contrato. </w:t>
      </w:r>
    </w:p>
    <w:p w14:paraId="699820FE" w14:textId="77777777" w:rsidR="00FA6ECA" w:rsidRPr="00A67C91" w:rsidRDefault="00FA6ECA" w:rsidP="00FA6ECA">
      <w:pPr>
        <w:ind w:left="567" w:hanging="387"/>
        <w:jc w:val="both"/>
        <w:rPr>
          <w:rFonts w:cs="Arial"/>
          <w:color w:val="auto"/>
          <w:szCs w:val="20"/>
          <w:lang w:val="pt-BR"/>
        </w:rPr>
      </w:pPr>
    </w:p>
    <w:p w14:paraId="0C36AA09"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10.2. O Cliente indenizará e isentará a Hexagon de quaisquer Danos sofridos em função de quaisquer Reivindicações decorrentes ou relacionadas a: (a) uma violação ou não conformidade com quaisquer leis ou regulamentos aplicáveis ​​pelas Partes Cliente; (b) acesso ou uso dos Produtos pelas Partes Clientes na condução de seus respectivos negócios (incluindo o uso indevido ou ilegal dos Produtos); (c) dolo, má-fé conduta fraudulenta ou arbitrária das Partes Cliente ou qualquer dano pessoal, dano à propriedade ou morte em função resultado de qualquer ato ou omissão das Partes Cliente; (d) qualquer uso indevido ou divulgação não autorizada de qualquer IC da Hexagon; (e) qualquer reclamação por violação de PI quando o Cliente fizer mau uso ou modificar os Produtos sem autorização ou quando o Cliente fizer a combinação dos Produtos com outros componentes ou Produtos que venha a causar tal violação; (f) qualquer divulgação ou uso de dados da Hexagon pelo Cliente na forma contemplada por este Contrato, ou (g) ​​quaisquer decisões de negócios tomadas pelo Cliente no todo ou em parte com base no uso ou recebimento dos Produtos. </w:t>
      </w:r>
    </w:p>
    <w:p w14:paraId="2825D51E" w14:textId="77777777" w:rsidR="00FA6ECA" w:rsidRPr="00A67C91" w:rsidRDefault="00FA6ECA" w:rsidP="00FA6ECA">
      <w:pPr>
        <w:ind w:left="567" w:hanging="387"/>
        <w:jc w:val="both"/>
        <w:rPr>
          <w:rFonts w:cs="Arial"/>
          <w:color w:val="auto"/>
          <w:szCs w:val="20"/>
          <w:lang w:val="pt-BR"/>
        </w:rPr>
      </w:pPr>
    </w:p>
    <w:p w14:paraId="4E6D9C11" w14:textId="77777777" w:rsidR="00FA6ECA" w:rsidRPr="00A67C91" w:rsidRDefault="00FA6ECA" w:rsidP="00FA6ECA">
      <w:pPr>
        <w:ind w:left="567" w:hanging="387"/>
        <w:jc w:val="both"/>
        <w:rPr>
          <w:rFonts w:cs="Arial"/>
          <w:color w:val="auto"/>
          <w:szCs w:val="20"/>
          <w:lang w:val="pt-BR"/>
        </w:rPr>
      </w:pPr>
      <w:r w:rsidRPr="00A67C91">
        <w:rPr>
          <w:rFonts w:cs="Arial"/>
          <w:color w:val="auto"/>
          <w:szCs w:val="20"/>
          <w:lang w:val="pt-BR"/>
        </w:rPr>
        <w:t xml:space="preserve">10.3. As indenizações mencionadas acima estão condicionadas a: (a) notificação imediata por escrito à outra parte sobre qualquer Reivindicação para a qual uma indenização é requerida por uma das partes; (b) permitir que a parte indenizadora tenha controle total e exclusivo na defesa dessa Reivindicação, incluindo o direito de acordo; e (c) a prestação pela parte indenizada de cooperação e assistência razoáveis à parte indenizadora, conforme solicitado. </w:t>
      </w:r>
    </w:p>
    <w:p w14:paraId="5E090C8B" w14:textId="77777777" w:rsidR="00FA6ECA" w:rsidRPr="00A67C91" w:rsidRDefault="00FA6ECA" w:rsidP="00FA6ECA">
      <w:pPr>
        <w:jc w:val="both"/>
        <w:rPr>
          <w:rFonts w:cs="Arial"/>
          <w:color w:val="auto"/>
          <w:szCs w:val="20"/>
          <w:lang w:val="pt-BR"/>
        </w:rPr>
      </w:pPr>
    </w:p>
    <w:p w14:paraId="4A9E361A" w14:textId="58CDA17E" w:rsidR="00FA6ECA" w:rsidRPr="00A67C91" w:rsidRDefault="00FA6ECA" w:rsidP="00FA6ECA">
      <w:pPr>
        <w:jc w:val="both"/>
        <w:rPr>
          <w:rFonts w:cs="Arial"/>
          <w:color w:val="auto"/>
          <w:szCs w:val="20"/>
          <w:lang w:val="pt-BR"/>
        </w:rPr>
      </w:pPr>
      <w:r w:rsidRPr="00A67C91">
        <w:rPr>
          <w:rFonts w:cs="Arial"/>
          <w:b/>
          <w:color w:val="auto"/>
          <w:szCs w:val="20"/>
          <w:lang w:val="pt-BR"/>
        </w:rPr>
        <w:t>11.</w:t>
      </w:r>
      <w:r w:rsidRPr="00A67C91">
        <w:rPr>
          <w:rFonts w:cs="Arial"/>
          <w:color w:val="auto"/>
          <w:szCs w:val="20"/>
          <w:lang w:val="pt-BR"/>
        </w:rPr>
        <w:t xml:space="preserve"> </w:t>
      </w:r>
      <w:r w:rsidRPr="00A67C91">
        <w:rPr>
          <w:rFonts w:cs="Arial"/>
          <w:b/>
          <w:color w:val="auto"/>
          <w:szCs w:val="20"/>
          <w:u w:val="single"/>
          <w:lang w:val="pt-BR"/>
        </w:rPr>
        <w:t>Lei Aplicável</w:t>
      </w:r>
      <w:r w:rsidRPr="00A67C91">
        <w:rPr>
          <w:rFonts w:cs="Arial"/>
          <w:color w:val="auto"/>
          <w:szCs w:val="20"/>
          <w:lang w:val="pt-BR"/>
        </w:rPr>
        <w:t xml:space="preserve">. Este Contrato e todas as questões decorrentes ou relacionadas a ele são regidos e interpretados de acordo com as leis da respectiva jurisdição conforme estabelecido na tabela abaixo, sem levar em consideração seus conflitos de disposições legais. Caso este Contrato seja assinado em local onde não esteja estabelecida uma entidade da Hexagon, as leis e jurisdição da Inglaterra e País de Gales se aplicarão. As partes concordam que a Convenção das Nações Unidas sobre Contratos para a Venda Internacional de Mercadorias não se aplica a este Contrato. </w:t>
      </w:r>
    </w:p>
    <w:p w14:paraId="328E5E69" w14:textId="77777777" w:rsidR="00FA6ECA" w:rsidRPr="00A67C91" w:rsidRDefault="00FA6ECA" w:rsidP="00FA6ECA">
      <w:pPr>
        <w:jc w:val="both"/>
        <w:rPr>
          <w:rFonts w:cs="Arial"/>
          <w:color w:val="auto"/>
          <w:szCs w:val="20"/>
          <w:lang w:val="pt-BR"/>
        </w:rPr>
      </w:pPr>
    </w:p>
    <w:p w14:paraId="1AC8A941" w14:textId="77777777" w:rsidR="00FA6ECA" w:rsidRPr="00A67C91" w:rsidRDefault="00FA6ECA" w:rsidP="00FA6ECA">
      <w:pPr>
        <w:jc w:val="both"/>
        <w:rPr>
          <w:rFonts w:cs="Arial"/>
          <w:color w:val="auto"/>
          <w:szCs w:val="20"/>
          <w:lang w:val="pt-BR"/>
        </w:rPr>
      </w:pPr>
    </w:p>
    <w:p w14:paraId="1F11E48D" w14:textId="77777777" w:rsidR="00FA6ECA" w:rsidRPr="00A67C91" w:rsidRDefault="00FA6ECA" w:rsidP="00FA6ECA">
      <w:pPr>
        <w:jc w:val="both"/>
        <w:rPr>
          <w:rFonts w:cs="Arial"/>
          <w:color w:val="auto"/>
          <w:szCs w:val="20"/>
          <w:lang w:val="pt-BR"/>
        </w:rPr>
      </w:pPr>
    </w:p>
    <w:p w14:paraId="0BA6946F" w14:textId="0C79C912" w:rsidR="004C1F9C" w:rsidRPr="00A67C91" w:rsidRDefault="00FA6ECA" w:rsidP="00FA6ECA">
      <w:pPr>
        <w:jc w:val="center"/>
        <w:rPr>
          <w:rFonts w:cs="Arial"/>
          <w:b/>
          <w:bCs/>
          <w:i/>
          <w:iCs/>
          <w:color w:val="auto"/>
          <w:sz w:val="24"/>
          <w:lang w:val="es-CL"/>
        </w:rPr>
      </w:pPr>
      <w:r w:rsidRPr="00A67C91">
        <w:rPr>
          <w:rFonts w:cs="Arial"/>
          <w:b/>
          <w:bCs/>
          <w:i/>
          <w:iCs/>
          <w:color w:val="auto"/>
          <w:sz w:val="24"/>
          <w:lang w:val="es-CL"/>
        </w:rPr>
        <w:t>[DEIXADO EM BRANCO INTENCIONALMENTE]</w:t>
      </w:r>
    </w:p>
    <w:p w14:paraId="6E949586" w14:textId="77777777" w:rsidR="00ED2EDA" w:rsidRPr="00A67C91" w:rsidRDefault="00ED2EDA" w:rsidP="00ED2EDA">
      <w:pPr>
        <w:jc w:val="both"/>
        <w:rPr>
          <w:rFonts w:cs="Arial"/>
          <w:color w:val="auto"/>
          <w:szCs w:val="20"/>
        </w:rPr>
      </w:pPr>
    </w:p>
    <w:p w14:paraId="55391523" w14:textId="2FDE3F22" w:rsidR="007A4F4E" w:rsidRDefault="007A4F4E" w:rsidP="00ED2EDA">
      <w:pPr>
        <w:jc w:val="both"/>
        <w:rPr>
          <w:rFonts w:cs="Arial"/>
          <w:szCs w:val="20"/>
        </w:rPr>
      </w:pPr>
      <w:r>
        <w:rPr>
          <w:rFonts w:cs="Arial"/>
          <w:szCs w:val="20"/>
        </w:rPr>
        <w:br w:type="page"/>
      </w:r>
    </w:p>
    <w:tbl>
      <w:tblPr>
        <w:tblpPr w:leftFromText="180" w:rightFromText="180" w:vertAnchor="text" w:horzAnchor="margin" w:tblpY="-13"/>
        <w:tblW w:w="9000" w:type="dxa"/>
        <w:tblLayout w:type="fixed"/>
        <w:tblCellMar>
          <w:left w:w="0" w:type="dxa"/>
          <w:right w:w="0" w:type="dxa"/>
        </w:tblCellMar>
        <w:tblLook w:val="01E0" w:firstRow="1" w:lastRow="1" w:firstColumn="1" w:lastColumn="1" w:noHBand="0" w:noVBand="0"/>
      </w:tblPr>
      <w:tblGrid>
        <w:gridCol w:w="4500"/>
        <w:gridCol w:w="1710"/>
        <w:gridCol w:w="2790"/>
      </w:tblGrid>
      <w:tr w:rsidR="00412DBD" w14:paraId="79B515DD" w14:textId="77777777" w:rsidTr="004C1F9C">
        <w:trPr>
          <w:trHeight w:val="450"/>
        </w:trPr>
        <w:tc>
          <w:tcPr>
            <w:tcW w:w="4500" w:type="dxa"/>
            <w:shd w:val="clear" w:color="auto" w:fill="231F20"/>
          </w:tcPr>
          <w:p w14:paraId="13CE312B" w14:textId="5C74B9D2" w:rsidR="00412DBD" w:rsidRPr="004C1F9C" w:rsidRDefault="004C1F9C" w:rsidP="004C1F9C">
            <w:pPr>
              <w:pStyle w:val="TableParagraph"/>
              <w:spacing w:before="85" w:line="228" w:lineRule="auto"/>
              <w:ind w:left="0" w:right="170"/>
              <w:jc w:val="center"/>
              <w:rPr>
                <w:rFonts w:ascii="Hexagon Akkurat"/>
                <w:b/>
                <w:sz w:val="16"/>
                <w:szCs w:val="16"/>
              </w:rPr>
            </w:pPr>
            <w:r w:rsidRPr="004C1F9C">
              <w:rPr>
                <w:noProof/>
                <w:sz w:val="16"/>
                <w:szCs w:val="16"/>
              </w:rPr>
              <w:lastRenderedPageBreak/>
              <w:drawing>
                <wp:anchor distT="0" distB="0" distL="114300" distR="114300" simplePos="0" relativeHeight="251659264" behindDoc="0" locked="0" layoutInCell="1" allowOverlap="1" wp14:anchorId="55DCF3A6" wp14:editId="098FD59E">
                  <wp:simplePos x="0" y="0"/>
                  <wp:positionH relativeFrom="margin">
                    <wp:posOffset>-635</wp:posOffset>
                  </wp:positionH>
                  <wp:positionV relativeFrom="paragraph">
                    <wp:posOffset>220345</wp:posOffset>
                  </wp:positionV>
                  <wp:extent cx="5712460" cy="6477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xagon_Brand_Bar_Word_Template.jpg"/>
                          <pic:cNvPicPr/>
                        </pic:nvPicPr>
                        <pic:blipFill rotWithShape="1">
                          <a:blip r:embed="rId9" cstate="print">
                            <a:extLst>
                              <a:ext uri="{28A0092B-C50C-407E-A947-70E740481C1C}">
                                <a14:useLocalDpi xmlns:a14="http://schemas.microsoft.com/office/drawing/2010/main" val="0"/>
                              </a:ext>
                            </a:extLst>
                          </a:blip>
                          <a:srcRect l="503" t="-1400" r="509" b="23686"/>
                          <a:stretch/>
                        </pic:blipFill>
                        <pic:spPr bwMode="auto">
                          <a:xfrm flipV="1">
                            <a:off x="0" y="0"/>
                            <a:ext cx="5712460"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1F9C">
              <w:rPr>
                <w:rFonts w:ascii="Hexagon Akkurat"/>
                <w:b/>
                <w:color w:val="FFFFFF"/>
                <w:sz w:val="16"/>
                <w:szCs w:val="16"/>
              </w:rPr>
              <w:t>Entidad</w:t>
            </w:r>
            <w:r w:rsidR="00FA6ECA">
              <w:rPr>
                <w:rFonts w:ascii="Hexagon Akkurat"/>
                <w:b/>
                <w:color w:val="FFFFFF"/>
                <w:sz w:val="16"/>
                <w:szCs w:val="16"/>
              </w:rPr>
              <w:t>e</w:t>
            </w:r>
            <w:r w:rsidRPr="004C1F9C">
              <w:rPr>
                <w:rFonts w:ascii="Hexagon Akkurat"/>
                <w:b/>
                <w:color w:val="FFFFFF"/>
                <w:sz w:val="16"/>
                <w:szCs w:val="16"/>
              </w:rPr>
              <w:t xml:space="preserve"> </w:t>
            </w:r>
            <w:r w:rsidR="00412DBD" w:rsidRPr="004C1F9C">
              <w:rPr>
                <w:rFonts w:ascii="Hexagon Akkurat"/>
                <w:b/>
                <w:color w:val="FFFFFF"/>
                <w:sz w:val="16"/>
                <w:szCs w:val="16"/>
              </w:rPr>
              <w:t>Hexagon Mining</w:t>
            </w:r>
          </w:p>
        </w:tc>
        <w:tc>
          <w:tcPr>
            <w:tcW w:w="1710" w:type="dxa"/>
            <w:shd w:val="clear" w:color="auto" w:fill="231F20"/>
          </w:tcPr>
          <w:p w14:paraId="22ADAB8D" w14:textId="6D385623" w:rsidR="00412DBD" w:rsidRPr="004C1F9C" w:rsidRDefault="004C1F9C" w:rsidP="004C1F9C">
            <w:pPr>
              <w:pStyle w:val="TableParagraph"/>
              <w:spacing w:before="85" w:line="228" w:lineRule="auto"/>
              <w:ind w:left="0" w:right="170"/>
              <w:jc w:val="center"/>
              <w:rPr>
                <w:rFonts w:ascii="Hexagon Akkurat"/>
                <w:b/>
                <w:sz w:val="16"/>
                <w:szCs w:val="16"/>
              </w:rPr>
            </w:pPr>
            <w:r w:rsidRPr="004C1F9C">
              <w:rPr>
                <w:rFonts w:ascii="Arial" w:hAnsi="Arial" w:cs="Arial"/>
                <w:b/>
                <w:bCs/>
                <w:sz w:val="16"/>
                <w:szCs w:val="16"/>
              </w:rPr>
              <w:t>País de Registro</w:t>
            </w:r>
          </w:p>
        </w:tc>
        <w:tc>
          <w:tcPr>
            <w:tcW w:w="2790" w:type="dxa"/>
            <w:shd w:val="clear" w:color="auto" w:fill="231F20"/>
          </w:tcPr>
          <w:p w14:paraId="06FED81A" w14:textId="23F4B5F6" w:rsidR="00412DBD" w:rsidRPr="00FA6ECA" w:rsidRDefault="00FA6ECA" w:rsidP="004C1F9C">
            <w:pPr>
              <w:pStyle w:val="TableParagraph"/>
              <w:spacing w:before="85" w:line="228" w:lineRule="auto"/>
              <w:ind w:left="0" w:right="170"/>
              <w:jc w:val="center"/>
              <w:rPr>
                <w:rFonts w:ascii="Hexagon Akkurat"/>
                <w:b/>
                <w:sz w:val="16"/>
                <w:szCs w:val="16"/>
              </w:rPr>
            </w:pPr>
            <w:r w:rsidRPr="00FA6ECA">
              <w:rPr>
                <w:rFonts w:ascii="Arial" w:hAnsi="Arial" w:cs="Arial"/>
                <w:b/>
                <w:bCs/>
                <w:sz w:val="16"/>
                <w:szCs w:val="16"/>
                <w:lang w:val="pt-BR"/>
              </w:rPr>
              <w:t>Legislação/Jurisdição</w:t>
            </w:r>
          </w:p>
        </w:tc>
      </w:tr>
      <w:tr w:rsidR="00412DBD" w14:paraId="3FED99B9" w14:textId="77777777" w:rsidTr="00412DBD">
        <w:trPr>
          <w:trHeight w:val="162"/>
        </w:trPr>
        <w:tc>
          <w:tcPr>
            <w:tcW w:w="4500" w:type="dxa"/>
            <w:tcBorders>
              <w:left w:val="single" w:sz="2" w:space="0" w:color="231F20"/>
              <w:right w:val="single" w:sz="2" w:space="0" w:color="231F20"/>
            </w:tcBorders>
            <w:shd w:val="clear" w:color="auto" w:fill="E6E7E8"/>
          </w:tcPr>
          <w:p w14:paraId="686E63D8" w14:textId="77777777" w:rsidR="00EA4917" w:rsidRDefault="00EA4917" w:rsidP="00EA4917">
            <w:pPr>
              <w:pStyle w:val="Default"/>
              <w:rPr>
                <w:sz w:val="16"/>
                <w:szCs w:val="16"/>
              </w:rPr>
            </w:pPr>
            <w:r>
              <w:rPr>
                <w:sz w:val="16"/>
                <w:szCs w:val="16"/>
              </w:rPr>
              <w:t xml:space="preserve">40 E Congress Street, Suite 150 </w:t>
            </w:r>
          </w:p>
          <w:p w14:paraId="6DF94BEE" w14:textId="77777777" w:rsidR="00EA4917" w:rsidRDefault="00EA4917" w:rsidP="00EA4917">
            <w:pPr>
              <w:pStyle w:val="Default"/>
              <w:rPr>
                <w:sz w:val="16"/>
                <w:szCs w:val="16"/>
              </w:rPr>
            </w:pPr>
            <w:r>
              <w:rPr>
                <w:sz w:val="16"/>
                <w:szCs w:val="16"/>
              </w:rPr>
              <w:t xml:space="preserve">Tucson, AZ, 87501, USA </w:t>
            </w:r>
          </w:p>
          <w:p w14:paraId="0FE2C9F9" w14:textId="77777777" w:rsidR="00EA4917" w:rsidRDefault="00EA4917" w:rsidP="00EA4917">
            <w:pPr>
              <w:pStyle w:val="Default"/>
              <w:rPr>
                <w:sz w:val="16"/>
                <w:szCs w:val="16"/>
              </w:rPr>
            </w:pPr>
            <w:r>
              <w:rPr>
                <w:sz w:val="16"/>
                <w:szCs w:val="16"/>
              </w:rPr>
              <w:t xml:space="preserve">T: +1 (520) 795-3891 F: +1 (520) 325-2568 </w:t>
            </w:r>
          </w:p>
          <w:p w14:paraId="0A6B0723" w14:textId="77777777" w:rsidR="00EA4917" w:rsidRDefault="00EA4917" w:rsidP="00EA4917">
            <w:pPr>
              <w:pStyle w:val="Default"/>
              <w:rPr>
                <w:color w:val="0096B9"/>
                <w:sz w:val="16"/>
                <w:szCs w:val="16"/>
              </w:rPr>
            </w:pPr>
            <w:r>
              <w:rPr>
                <w:color w:val="0096B9"/>
                <w:sz w:val="16"/>
                <w:szCs w:val="16"/>
              </w:rPr>
              <w:t xml:space="preserve">www.hexagonmining.com </w:t>
            </w:r>
          </w:p>
          <w:p w14:paraId="3314B6DF" w14:textId="00907D4A" w:rsidR="00412DBD" w:rsidRPr="009E4522" w:rsidRDefault="00EA4917" w:rsidP="00EA4917">
            <w:pPr>
              <w:pStyle w:val="TableText"/>
            </w:pPr>
            <w:r w:rsidRPr="00EA4917">
              <w:rPr>
                <w:szCs w:val="16"/>
              </w:rPr>
              <w:t>Entidade Hexágono Mineração País de registro Lei aplicável / jurisdição Blast Movement Technologies Brisbane International Pty Ltd</w:t>
            </w:r>
          </w:p>
        </w:tc>
        <w:tc>
          <w:tcPr>
            <w:tcW w:w="1710" w:type="dxa"/>
            <w:vMerge w:val="restart"/>
            <w:tcBorders>
              <w:left w:val="single" w:sz="2" w:space="0" w:color="231F20"/>
              <w:right w:val="single" w:sz="2" w:space="0" w:color="231F20"/>
            </w:tcBorders>
            <w:shd w:val="clear" w:color="auto" w:fill="F9F9F9"/>
            <w:vAlign w:val="center"/>
          </w:tcPr>
          <w:p w14:paraId="3CB85EF4" w14:textId="529A21D9" w:rsidR="00412DBD" w:rsidRPr="001E536B" w:rsidRDefault="00412DBD" w:rsidP="00412DBD">
            <w:pPr>
              <w:pStyle w:val="TableText"/>
              <w:jc w:val="center"/>
            </w:pPr>
            <w:r w:rsidRPr="001E536B">
              <w:t>Austr</w:t>
            </w:r>
            <w:r w:rsidR="00FA6ECA" w:rsidRPr="00FA6ECA">
              <w:rPr>
                <w:rFonts w:cs="Arial"/>
                <w:szCs w:val="16"/>
                <w:lang w:val="pt-BR"/>
              </w:rPr>
              <w:t>á</w:t>
            </w:r>
            <w:r w:rsidRPr="001E536B">
              <w:t>lia</w:t>
            </w:r>
          </w:p>
        </w:tc>
        <w:tc>
          <w:tcPr>
            <w:tcW w:w="2790" w:type="dxa"/>
            <w:tcBorders>
              <w:left w:val="single" w:sz="2" w:space="0" w:color="231F20"/>
              <w:right w:val="single" w:sz="2" w:space="0" w:color="231F20"/>
            </w:tcBorders>
            <w:shd w:val="clear" w:color="auto" w:fill="E6E7E8"/>
          </w:tcPr>
          <w:p w14:paraId="081F9D99" w14:textId="77777777" w:rsidR="00412DBD" w:rsidRPr="001E536B" w:rsidRDefault="00412DBD" w:rsidP="00412DBD">
            <w:pPr>
              <w:pStyle w:val="TableText"/>
              <w:jc w:val="center"/>
            </w:pPr>
            <w:r w:rsidRPr="001E536B">
              <w:t>Brisbane</w:t>
            </w:r>
          </w:p>
        </w:tc>
      </w:tr>
      <w:tr w:rsidR="00412DBD" w14:paraId="7D30C780" w14:textId="77777777" w:rsidTr="00412DBD">
        <w:trPr>
          <w:trHeight w:val="180"/>
        </w:trPr>
        <w:tc>
          <w:tcPr>
            <w:tcW w:w="4500" w:type="dxa"/>
            <w:tcBorders>
              <w:left w:val="single" w:sz="2" w:space="0" w:color="231F20"/>
              <w:right w:val="single" w:sz="2" w:space="0" w:color="231F20"/>
            </w:tcBorders>
            <w:shd w:val="clear" w:color="auto" w:fill="F9F9F9"/>
          </w:tcPr>
          <w:p w14:paraId="192F2F51" w14:textId="77777777" w:rsidR="00412DBD" w:rsidRPr="009E4522" w:rsidRDefault="00412DBD" w:rsidP="00412DBD">
            <w:pPr>
              <w:pStyle w:val="TableText"/>
            </w:pPr>
            <w:r w:rsidRPr="009E4522">
              <w:t>Blast Movement Technologies Pty Ltd</w:t>
            </w:r>
          </w:p>
        </w:tc>
        <w:tc>
          <w:tcPr>
            <w:tcW w:w="1710" w:type="dxa"/>
            <w:vMerge/>
            <w:tcBorders>
              <w:left w:val="single" w:sz="2" w:space="0" w:color="231F20"/>
              <w:right w:val="single" w:sz="2" w:space="0" w:color="231F20"/>
            </w:tcBorders>
            <w:shd w:val="clear" w:color="auto" w:fill="F9F9F9"/>
            <w:vAlign w:val="center"/>
          </w:tcPr>
          <w:p w14:paraId="4236F97D"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20DF9B0" w14:textId="77777777" w:rsidR="00412DBD" w:rsidRPr="001E536B" w:rsidRDefault="00412DBD" w:rsidP="00412DBD">
            <w:pPr>
              <w:pStyle w:val="TableText"/>
              <w:jc w:val="center"/>
            </w:pPr>
            <w:r w:rsidRPr="001E536B">
              <w:t>Brisbane</w:t>
            </w:r>
          </w:p>
        </w:tc>
      </w:tr>
      <w:tr w:rsidR="00412DBD" w14:paraId="5B1AAFEF" w14:textId="77777777" w:rsidTr="00412DBD">
        <w:trPr>
          <w:trHeight w:val="180"/>
        </w:trPr>
        <w:tc>
          <w:tcPr>
            <w:tcW w:w="4500" w:type="dxa"/>
            <w:tcBorders>
              <w:left w:val="single" w:sz="2" w:space="0" w:color="231F20"/>
              <w:right w:val="single" w:sz="2" w:space="0" w:color="231F20"/>
            </w:tcBorders>
            <w:shd w:val="clear" w:color="auto" w:fill="E6E7E8"/>
          </w:tcPr>
          <w:p w14:paraId="53626F49" w14:textId="77777777" w:rsidR="00412DBD" w:rsidRPr="009E4522" w:rsidRDefault="00412DBD" w:rsidP="00412DBD">
            <w:pPr>
              <w:pStyle w:val="TableText"/>
            </w:pPr>
            <w:r w:rsidRPr="009E4522">
              <w:t>BMT 3 Holdings Pty Ltd</w:t>
            </w:r>
          </w:p>
        </w:tc>
        <w:tc>
          <w:tcPr>
            <w:tcW w:w="1710" w:type="dxa"/>
            <w:vMerge/>
            <w:tcBorders>
              <w:left w:val="single" w:sz="2" w:space="0" w:color="231F20"/>
              <w:right w:val="single" w:sz="2" w:space="0" w:color="231F20"/>
            </w:tcBorders>
            <w:shd w:val="clear" w:color="auto" w:fill="F9F9F9"/>
            <w:vAlign w:val="center"/>
          </w:tcPr>
          <w:p w14:paraId="0254320B"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73108066" w14:textId="77777777" w:rsidR="00412DBD" w:rsidRPr="001E536B" w:rsidRDefault="00412DBD" w:rsidP="00412DBD">
            <w:pPr>
              <w:pStyle w:val="TableText"/>
              <w:jc w:val="center"/>
            </w:pPr>
            <w:r w:rsidRPr="001E536B">
              <w:t>Brisbane</w:t>
            </w:r>
          </w:p>
        </w:tc>
      </w:tr>
      <w:tr w:rsidR="00412DBD" w14:paraId="7593FF1C" w14:textId="77777777" w:rsidTr="00412DBD">
        <w:trPr>
          <w:trHeight w:val="162"/>
        </w:trPr>
        <w:tc>
          <w:tcPr>
            <w:tcW w:w="4500" w:type="dxa"/>
            <w:tcBorders>
              <w:left w:val="single" w:sz="2" w:space="0" w:color="231F20"/>
              <w:right w:val="single" w:sz="2" w:space="0" w:color="231F20"/>
            </w:tcBorders>
            <w:shd w:val="clear" w:color="auto" w:fill="F9F9F9"/>
          </w:tcPr>
          <w:p w14:paraId="29DC3D5D" w14:textId="77777777" w:rsidR="00412DBD" w:rsidRPr="009E4522" w:rsidRDefault="00412DBD" w:rsidP="00412DBD">
            <w:pPr>
              <w:pStyle w:val="TableText"/>
            </w:pPr>
            <w:r w:rsidRPr="009E4522">
              <w:t>BMT Africa Pty Ltd</w:t>
            </w:r>
          </w:p>
        </w:tc>
        <w:tc>
          <w:tcPr>
            <w:tcW w:w="1710" w:type="dxa"/>
            <w:vMerge/>
            <w:tcBorders>
              <w:left w:val="single" w:sz="2" w:space="0" w:color="231F20"/>
              <w:right w:val="single" w:sz="2" w:space="0" w:color="231F20"/>
            </w:tcBorders>
            <w:shd w:val="clear" w:color="auto" w:fill="F9F9F9"/>
            <w:vAlign w:val="center"/>
          </w:tcPr>
          <w:p w14:paraId="012AF4F3"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6803D1C9" w14:textId="77777777" w:rsidR="00412DBD" w:rsidRPr="001E536B" w:rsidRDefault="00412DBD" w:rsidP="00412DBD">
            <w:pPr>
              <w:pStyle w:val="TableText"/>
              <w:jc w:val="center"/>
            </w:pPr>
            <w:r w:rsidRPr="001E536B">
              <w:t>Brisbane</w:t>
            </w:r>
          </w:p>
        </w:tc>
      </w:tr>
      <w:tr w:rsidR="00412DBD" w14:paraId="1B65EDAF" w14:textId="77777777" w:rsidTr="00412DBD">
        <w:trPr>
          <w:trHeight w:val="234"/>
        </w:trPr>
        <w:tc>
          <w:tcPr>
            <w:tcW w:w="4500" w:type="dxa"/>
            <w:tcBorders>
              <w:left w:val="single" w:sz="2" w:space="0" w:color="231F20"/>
              <w:right w:val="single" w:sz="2" w:space="0" w:color="231F20"/>
            </w:tcBorders>
            <w:shd w:val="clear" w:color="auto" w:fill="E6E7E8"/>
          </w:tcPr>
          <w:p w14:paraId="49AEBA7A" w14:textId="2CC1E0A3" w:rsidR="00412DBD" w:rsidRPr="009E4522" w:rsidRDefault="003B73F9" w:rsidP="00412DBD">
            <w:pPr>
              <w:pStyle w:val="TableText"/>
            </w:pPr>
            <w:r w:rsidRPr="008B6989">
              <w:rPr>
                <w:rFonts w:asciiTheme="minorHAnsi" w:hAnsiTheme="minorHAnsi" w:cstheme="minorHAnsi"/>
                <w:color w:val="auto"/>
                <w:szCs w:val="16"/>
                <w:lang w:val="en-US"/>
              </w:rPr>
              <w:t>Brisbane Leica Geosystems Pty Ltd Brisbane MineSight</w:t>
            </w:r>
          </w:p>
        </w:tc>
        <w:tc>
          <w:tcPr>
            <w:tcW w:w="1710" w:type="dxa"/>
            <w:vMerge/>
            <w:tcBorders>
              <w:left w:val="single" w:sz="2" w:space="0" w:color="231F20"/>
              <w:right w:val="single" w:sz="2" w:space="0" w:color="231F20"/>
            </w:tcBorders>
            <w:shd w:val="clear" w:color="auto" w:fill="F9F9F9"/>
            <w:vAlign w:val="center"/>
          </w:tcPr>
          <w:p w14:paraId="4F34A3F9"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31837681" w14:textId="77777777" w:rsidR="00412DBD" w:rsidRPr="001E536B" w:rsidRDefault="00412DBD" w:rsidP="00412DBD">
            <w:pPr>
              <w:pStyle w:val="TableText"/>
              <w:jc w:val="center"/>
            </w:pPr>
            <w:r w:rsidRPr="001E536B">
              <w:t>Williamtown</w:t>
            </w:r>
          </w:p>
        </w:tc>
      </w:tr>
      <w:tr w:rsidR="00412DBD" w14:paraId="2624CEE3" w14:textId="77777777" w:rsidTr="00412DBD">
        <w:trPr>
          <w:trHeight w:val="99"/>
        </w:trPr>
        <w:tc>
          <w:tcPr>
            <w:tcW w:w="4500" w:type="dxa"/>
            <w:tcBorders>
              <w:left w:val="single" w:sz="2" w:space="0" w:color="231F20"/>
              <w:right w:val="single" w:sz="2" w:space="0" w:color="231F20"/>
            </w:tcBorders>
            <w:shd w:val="clear" w:color="auto" w:fill="F9F9F9"/>
          </w:tcPr>
          <w:p w14:paraId="305C1C9B" w14:textId="77777777" w:rsidR="00412DBD" w:rsidRPr="009E4522" w:rsidRDefault="00412DBD" w:rsidP="00412DBD">
            <w:pPr>
              <w:pStyle w:val="TableText"/>
            </w:pPr>
            <w:r w:rsidRPr="009E4522">
              <w:t>MiPlan Consulting Pty Ltd</w:t>
            </w:r>
          </w:p>
        </w:tc>
        <w:tc>
          <w:tcPr>
            <w:tcW w:w="1710" w:type="dxa"/>
            <w:vMerge/>
            <w:tcBorders>
              <w:left w:val="single" w:sz="2" w:space="0" w:color="231F20"/>
              <w:right w:val="single" w:sz="2" w:space="0" w:color="231F20"/>
            </w:tcBorders>
            <w:shd w:val="clear" w:color="auto" w:fill="F9F9F9"/>
            <w:vAlign w:val="center"/>
          </w:tcPr>
          <w:p w14:paraId="58C22B77"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2C0A672C" w14:textId="77777777" w:rsidR="00412DBD" w:rsidRPr="001E536B" w:rsidRDefault="00412DBD" w:rsidP="00412DBD">
            <w:pPr>
              <w:pStyle w:val="TableText"/>
              <w:jc w:val="center"/>
            </w:pPr>
            <w:r w:rsidRPr="001E536B">
              <w:t>Brisbane</w:t>
            </w:r>
          </w:p>
        </w:tc>
      </w:tr>
      <w:tr w:rsidR="00412DBD" w14:paraId="144BE133" w14:textId="77777777" w:rsidTr="00412DBD">
        <w:trPr>
          <w:trHeight w:val="378"/>
        </w:trPr>
        <w:tc>
          <w:tcPr>
            <w:tcW w:w="4500" w:type="dxa"/>
            <w:tcBorders>
              <w:left w:val="single" w:sz="2" w:space="0" w:color="231F20"/>
              <w:right w:val="single" w:sz="2" w:space="0" w:color="231F20"/>
            </w:tcBorders>
            <w:shd w:val="clear" w:color="auto" w:fill="E6E7E8"/>
          </w:tcPr>
          <w:p w14:paraId="6D21B460" w14:textId="77777777" w:rsidR="00412DBD" w:rsidRPr="009E4522" w:rsidRDefault="00412DBD" w:rsidP="00412DBD">
            <w:pPr>
              <w:pStyle w:val="TableText"/>
            </w:pPr>
            <w:r w:rsidRPr="009E4522">
              <w:t>Minesight Applications Pty Ltd.</w:t>
            </w:r>
          </w:p>
        </w:tc>
        <w:tc>
          <w:tcPr>
            <w:tcW w:w="1710" w:type="dxa"/>
            <w:vMerge/>
            <w:tcBorders>
              <w:left w:val="single" w:sz="2" w:space="0" w:color="231F20"/>
              <w:right w:val="single" w:sz="2" w:space="0" w:color="231F20"/>
            </w:tcBorders>
            <w:shd w:val="clear" w:color="auto" w:fill="F9F9F9"/>
            <w:vAlign w:val="center"/>
          </w:tcPr>
          <w:p w14:paraId="4111C5E1"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61E11E14" w14:textId="77777777" w:rsidR="00412DBD" w:rsidRPr="001E536B" w:rsidRDefault="00412DBD" w:rsidP="00412DBD">
            <w:pPr>
              <w:pStyle w:val="TableText"/>
              <w:jc w:val="center"/>
            </w:pPr>
            <w:r w:rsidRPr="001E536B">
              <w:t>Perth</w:t>
            </w:r>
          </w:p>
        </w:tc>
      </w:tr>
      <w:tr w:rsidR="00412DBD" w14:paraId="4CAFBC53"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3E0B25A3" w14:textId="77777777" w:rsidR="00412DBD" w:rsidRPr="00B145FF" w:rsidRDefault="00412DBD" w:rsidP="00412DBD">
            <w:pPr>
              <w:pStyle w:val="TableText"/>
              <w:jc w:val="center"/>
              <w:rPr>
                <w:sz w:val="2"/>
                <w:szCs w:val="2"/>
              </w:rPr>
            </w:pPr>
            <w:r w:rsidRPr="00B145FF">
              <w:rPr>
                <w:sz w:val="2"/>
                <w:szCs w:val="2"/>
              </w:rPr>
              <w:t>x</w:t>
            </w:r>
          </w:p>
        </w:tc>
      </w:tr>
      <w:tr w:rsidR="00412DBD" w14:paraId="4167283C" w14:textId="77777777" w:rsidTr="00412DBD">
        <w:trPr>
          <w:trHeight w:val="153"/>
        </w:trPr>
        <w:tc>
          <w:tcPr>
            <w:tcW w:w="4500" w:type="dxa"/>
            <w:tcBorders>
              <w:left w:val="single" w:sz="2" w:space="0" w:color="231F20"/>
              <w:right w:val="single" w:sz="2" w:space="0" w:color="231F20"/>
            </w:tcBorders>
            <w:shd w:val="clear" w:color="auto" w:fill="E6E7E8"/>
          </w:tcPr>
          <w:p w14:paraId="0CD89B64" w14:textId="77777777" w:rsidR="00412DBD" w:rsidRPr="001E536B" w:rsidRDefault="00412DBD" w:rsidP="00412DBD">
            <w:pPr>
              <w:pStyle w:val="TableText"/>
            </w:pPr>
            <w:r w:rsidRPr="001E536B">
              <w:t>Hexagon Mining Tecnologia e Sistemas S/A</w:t>
            </w:r>
          </w:p>
        </w:tc>
        <w:tc>
          <w:tcPr>
            <w:tcW w:w="1710" w:type="dxa"/>
            <w:vMerge w:val="restart"/>
            <w:tcBorders>
              <w:left w:val="single" w:sz="2" w:space="0" w:color="231F20"/>
              <w:right w:val="single" w:sz="2" w:space="0" w:color="231F20"/>
            </w:tcBorders>
            <w:shd w:val="clear" w:color="auto" w:fill="F9F9F9"/>
            <w:vAlign w:val="center"/>
          </w:tcPr>
          <w:p w14:paraId="6CCDF9A2" w14:textId="77777777" w:rsidR="00412DBD" w:rsidRPr="001E536B" w:rsidRDefault="00412DBD" w:rsidP="00412DBD">
            <w:pPr>
              <w:pStyle w:val="TableText"/>
              <w:jc w:val="center"/>
            </w:pPr>
            <w:r w:rsidRPr="001E536B">
              <w:t>Brazil</w:t>
            </w:r>
          </w:p>
        </w:tc>
        <w:tc>
          <w:tcPr>
            <w:tcW w:w="2790" w:type="dxa"/>
            <w:tcBorders>
              <w:left w:val="single" w:sz="2" w:space="0" w:color="231F20"/>
              <w:right w:val="single" w:sz="2" w:space="0" w:color="231F20"/>
            </w:tcBorders>
            <w:shd w:val="clear" w:color="auto" w:fill="E6E7E8"/>
          </w:tcPr>
          <w:p w14:paraId="34EE9F6F" w14:textId="77777777" w:rsidR="00412DBD" w:rsidRPr="001E536B" w:rsidRDefault="00412DBD" w:rsidP="00412DBD">
            <w:pPr>
              <w:pStyle w:val="TableText"/>
              <w:jc w:val="center"/>
            </w:pPr>
            <w:r w:rsidRPr="001E536B">
              <w:t>Belo Horizonte, MG</w:t>
            </w:r>
          </w:p>
        </w:tc>
      </w:tr>
      <w:tr w:rsidR="00412DBD" w14:paraId="0E075714" w14:textId="77777777" w:rsidTr="00412DBD">
        <w:trPr>
          <w:trHeight w:val="495"/>
        </w:trPr>
        <w:tc>
          <w:tcPr>
            <w:tcW w:w="4500" w:type="dxa"/>
            <w:tcBorders>
              <w:left w:val="single" w:sz="2" w:space="0" w:color="231F20"/>
              <w:right w:val="single" w:sz="2" w:space="0" w:color="231F20"/>
            </w:tcBorders>
            <w:shd w:val="clear" w:color="auto" w:fill="F9F9F9"/>
          </w:tcPr>
          <w:p w14:paraId="2D7F6781" w14:textId="77777777" w:rsidR="00412DBD" w:rsidRPr="001E536B" w:rsidRDefault="00412DBD" w:rsidP="00412DBD">
            <w:pPr>
              <w:pStyle w:val="TableText"/>
            </w:pPr>
            <w:r w:rsidRPr="001E536B">
              <w:t>Manfra &amp; Cia Ltda.</w:t>
            </w:r>
          </w:p>
        </w:tc>
        <w:tc>
          <w:tcPr>
            <w:tcW w:w="1710" w:type="dxa"/>
            <w:vMerge/>
            <w:tcBorders>
              <w:left w:val="single" w:sz="2" w:space="0" w:color="231F20"/>
              <w:right w:val="single" w:sz="2" w:space="0" w:color="231F20"/>
            </w:tcBorders>
            <w:shd w:val="clear" w:color="auto" w:fill="F9F9F9"/>
            <w:vAlign w:val="center"/>
          </w:tcPr>
          <w:p w14:paraId="0BB29450"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CF0695F" w14:textId="77777777" w:rsidR="00412DBD" w:rsidRPr="001E536B" w:rsidRDefault="00412DBD" w:rsidP="00412DBD">
            <w:pPr>
              <w:pStyle w:val="TableText"/>
              <w:jc w:val="center"/>
            </w:pPr>
            <w:r w:rsidRPr="001E536B">
              <w:t>Curitiba, PR</w:t>
            </w:r>
          </w:p>
        </w:tc>
      </w:tr>
      <w:tr w:rsidR="00412DBD" w14:paraId="1C3EA416"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4AA44D84" w14:textId="77777777" w:rsidR="00412DBD" w:rsidRPr="00B145FF" w:rsidRDefault="00412DBD" w:rsidP="00412DBD">
            <w:pPr>
              <w:pStyle w:val="TableText"/>
              <w:jc w:val="center"/>
              <w:rPr>
                <w:sz w:val="2"/>
                <w:szCs w:val="2"/>
              </w:rPr>
            </w:pPr>
          </w:p>
        </w:tc>
      </w:tr>
      <w:tr w:rsidR="00412DBD" w14:paraId="5C80AD2F" w14:textId="77777777" w:rsidTr="00412DBD">
        <w:trPr>
          <w:trHeight w:val="495"/>
        </w:trPr>
        <w:tc>
          <w:tcPr>
            <w:tcW w:w="4500" w:type="dxa"/>
            <w:tcBorders>
              <w:left w:val="single" w:sz="2" w:space="0" w:color="231F20"/>
              <w:right w:val="single" w:sz="2" w:space="0" w:color="231F20"/>
            </w:tcBorders>
            <w:shd w:val="clear" w:color="auto" w:fill="F9F9F9"/>
          </w:tcPr>
          <w:p w14:paraId="2A299F62" w14:textId="77777777" w:rsidR="00412DBD" w:rsidRDefault="00412DBD" w:rsidP="00412DBD">
            <w:pPr>
              <w:pStyle w:val="TableText"/>
              <w:rPr>
                <w:color w:val="231F20"/>
                <w:sz w:val="14"/>
              </w:rPr>
            </w:pPr>
            <w:r w:rsidRPr="007758B9">
              <w:t>Minesight ULC</w:t>
            </w:r>
          </w:p>
        </w:tc>
        <w:tc>
          <w:tcPr>
            <w:tcW w:w="1710" w:type="dxa"/>
            <w:tcBorders>
              <w:left w:val="single" w:sz="2" w:space="0" w:color="231F20"/>
              <w:right w:val="single" w:sz="2" w:space="0" w:color="231F20"/>
            </w:tcBorders>
            <w:shd w:val="clear" w:color="auto" w:fill="F9F9F9"/>
            <w:vAlign w:val="center"/>
          </w:tcPr>
          <w:p w14:paraId="19D43FB5" w14:textId="2381E682" w:rsidR="00412DBD" w:rsidRPr="00FA6ECA" w:rsidRDefault="00412DBD" w:rsidP="00412DBD">
            <w:pPr>
              <w:pStyle w:val="TableText"/>
              <w:jc w:val="center"/>
              <w:rPr>
                <w:szCs w:val="16"/>
              </w:rPr>
            </w:pPr>
            <w:r w:rsidRPr="00FA6ECA">
              <w:rPr>
                <w:szCs w:val="16"/>
              </w:rPr>
              <w:t>Canad</w:t>
            </w:r>
            <w:r w:rsidR="00FA6ECA" w:rsidRPr="00FA6ECA">
              <w:rPr>
                <w:rFonts w:cs="Arial"/>
                <w:szCs w:val="16"/>
                <w:lang w:val="pt-BR"/>
              </w:rPr>
              <w:t>á</w:t>
            </w:r>
          </w:p>
        </w:tc>
        <w:tc>
          <w:tcPr>
            <w:tcW w:w="2790" w:type="dxa"/>
            <w:tcBorders>
              <w:left w:val="single" w:sz="2" w:space="0" w:color="231F20"/>
              <w:right w:val="single" w:sz="2" w:space="0" w:color="231F20"/>
            </w:tcBorders>
            <w:shd w:val="clear" w:color="auto" w:fill="F9F9F9"/>
            <w:vAlign w:val="center"/>
          </w:tcPr>
          <w:p w14:paraId="7E9CB2B4" w14:textId="77777777" w:rsidR="00412DBD" w:rsidRPr="001E536B" w:rsidRDefault="00412DBD" w:rsidP="00412DBD">
            <w:pPr>
              <w:pStyle w:val="TableText"/>
              <w:jc w:val="center"/>
            </w:pPr>
            <w:r w:rsidRPr="001E536B">
              <w:t>British Columbia</w:t>
            </w:r>
          </w:p>
        </w:tc>
      </w:tr>
      <w:tr w:rsidR="00412DBD" w14:paraId="193C091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4F80BF69" w14:textId="77777777" w:rsidR="00412DBD" w:rsidRPr="00B145FF" w:rsidRDefault="00412DBD" w:rsidP="00412DBD">
            <w:pPr>
              <w:pStyle w:val="TableText"/>
              <w:jc w:val="center"/>
              <w:rPr>
                <w:sz w:val="2"/>
                <w:szCs w:val="2"/>
              </w:rPr>
            </w:pPr>
            <w:r>
              <w:rPr>
                <w:sz w:val="2"/>
                <w:szCs w:val="2"/>
              </w:rPr>
              <w:t>x</w:t>
            </w:r>
          </w:p>
        </w:tc>
      </w:tr>
      <w:tr w:rsidR="00412DBD" w14:paraId="2A0CD8C5" w14:textId="77777777" w:rsidTr="00412DBD">
        <w:trPr>
          <w:trHeight w:val="216"/>
        </w:trPr>
        <w:tc>
          <w:tcPr>
            <w:tcW w:w="4500" w:type="dxa"/>
            <w:tcBorders>
              <w:left w:val="single" w:sz="2" w:space="0" w:color="231F20"/>
              <w:right w:val="single" w:sz="2" w:space="0" w:color="231F20"/>
            </w:tcBorders>
            <w:shd w:val="clear" w:color="auto" w:fill="E6E7E8"/>
          </w:tcPr>
          <w:p w14:paraId="2F35B16A" w14:textId="77777777" w:rsidR="00412DBD" w:rsidRDefault="00412DBD" w:rsidP="00412DBD">
            <w:pPr>
              <w:pStyle w:val="TableText"/>
              <w:rPr>
                <w:color w:val="231F20"/>
                <w:sz w:val="14"/>
              </w:rPr>
            </w:pPr>
            <w:r w:rsidRPr="008751A5">
              <w:t>BMT South America SpA</w:t>
            </w:r>
          </w:p>
        </w:tc>
        <w:tc>
          <w:tcPr>
            <w:tcW w:w="1710" w:type="dxa"/>
            <w:vMerge w:val="restart"/>
            <w:tcBorders>
              <w:left w:val="single" w:sz="2" w:space="0" w:color="231F20"/>
              <w:right w:val="single" w:sz="2" w:space="0" w:color="231F20"/>
            </w:tcBorders>
            <w:shd w:val="clear" w:color="auto" w:fill="F9F9F9"/>
            <w:vAlign w:val="center"/>
          </w:tcPr>
          <w:p w14:paraId="39E4053A" w14:textId="77777777" w:rsidR="00412DBD" w:rsidRPr="001E536B" w:rsidRDefault="00412DBD" w:rsidP="00412DBD">
            <w:pPr>
              <w:pStyle w:val="TableText"/>
              <w:jc w:val="center"/>
            </w:pPr>
            <w:r w:rsidRPr="001E536B">
              <w:t>Chile</w:t>
            </w:r>
          </w:p>
        </w:tc>
        <w:tc>
          <w:tcPr>
            <w:tcW w:w="2790" w:type="dxa"/>
            <w:vMerge w:val="restart"/>
            <w:tcBorders>
              <w:left w:val="single" w:sz="2" w:space="0" w:color="231F20"/>
              <w:right w:val="single" w:sz="2" w:space="0" w:color="231F20"/>
            </w:tcBorders>
            <w:shd w:val="clear" w:color="auto" w:fill="F9F9F9"/>
            <w:vAlign w:val="center"/>
          </w:tcPr>
          <w:p w14:paraId="7BA9541D" w14:textId="77777777" w:rsidR="00412DBD" w:rsidRPr="001E536B" w:rsidRDefault="00412DBD" w:rsidP="00412DBD">
            <w:pPr>
              <w:pStyle w:val="TableText"/>
              <w:jc w:val="center"/>
            </w:pPr>
            <w:r w:rsidRPr="001E536B">
              <w:t>Santiago</w:t>
            </w:r>
          </w:p>
        </w:tc>
      </w:tr>
      <w:tr w:rsidR="00412DBD" w14:paraId="771099D8" w14:textId="77777777" w:rsidTr="00412DBD">
        <w:trPr>
          <w:trHeight w:val="180"/>
        </w:trPr>
        <w:tc>
          <w:tcPr>
            <w:tcW w:w="4500" w:type="dxa"/>
            <w:tcBorders>
              <w:left w:val="single" w:sz="2" w:space="0" w:color="231F20"/>
              <w:right w:val="single" w:sz="2" w:space="0" w:color="231F20"/>
            </w:tcBorders>
            <w:shd w:val="clear" w:color="auto" w:fill="FFFFFF" w:themeFill="text2"/>
          </w:tcPr>
          <w:p w14:paraId="49E4B756" w14:textId="77777777" w:rsidR="00412DBD" w:rsidRDefault="00412DBD" w:rsidP="00412DBD">
            <w:pPr>
              <w:pStyle w:val="TableText"/>
              <w:rPr>
                <w:color w:val="231F20"/>
                <w:sz w:val="14"/>
              </w:rPr>
            </w:pPr>
            <w:r w:rsidRPr="007758B9">
              <w:t>Hexagon Mining Limitada</w:t>
            </w:r>
          </w:p>
        </w:tc>
        <w:tc>
          <w:tcPr>
            <w:tcW w:w="1710" w:type="dxa"/>
            <w:vMerge/>
            <w:tcBorders>
              <w:left w:val="single" w:sz="2" w:space="0" w:color="231F20"/>
              <w:right w:val="single" w:sz="2" w:space="0" w:color="231F20"/>
            </w:tcBorders>
            <w:shd w:val="clear" w:color="auto" w:fill="F9F9F9"/>
            <w:vAlign w:val="center"/>
          </w:tcPr>
          <w:p w14:paraId="665A39CD"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2E686C54" w14:textId="77777777" w:rsidR="00412DBD" w:rsidRDefault="00412DBD" w:rsidP="00412DBD">
            <w:pPr>
              <w:pStyle w:val="TableText"/>
              <w:jc w:val="center"/>
              <w:rPr>
                <w:color w:val="231F20"/>
                <w:sz w:val="14"/>
              </w:rPr>
            </w:pPr>
          </w:p>
        </w:tc>
      </w:tr>
      <w:tr w:rsidR="00412DBD" w14:paraId="54403FBD" w14:textId="77777777" w:rsidTr="00412DBD">
        <w:trPr>
          <w:trHeight w:val="180"/>
        </w:trPr>
        <w:tc>
          <w:tcPr>
            <w:tcW w:w="4500" w:type="dxa"/>
            <w:tcBorders>
              <w:left w:val="single" w:sz="2" w:space="0" w:color="231F20"/>
              <w:right w:val="single" w:sz="2" w:space="0" w:color="231F20"/>
            </w:tcBorders>
            <w:shd w:val="clear" w:color="auto" w:fill="E6E7E8"/>
          </w:tcPr>
          <w:p w14:paraId="52EAF0AC" w14:textId="77777777" w:rsidR="00412DBD" w:rsidRDefault="00412DBD" w:rsidP="00412DBD">
            <w:pPr>
              <w:pStyle w:val="TableText"/>
              <w:rPr>
                <w:color w:val="231F20"/>
                <w:sz w:val="14"/>
              </w:rPr>
            </w:pPr>
            <w:r w:rsidRPr="007758B9">
              <w:t>Sistema Minesight Applications Limitada</w:t>
            </w:r>
          </w:p>
        </w:tc>
        <w:tc>
          <w:tcPr>
            <w:tcW w:w="1710" w:type="dxa"/>
            <w:vMerge/>
            <w:tcBorders>
              <w:left w:val="single" w:sz="2" w:space="0" w:color="231F20"/>
              <w:right w:val="single" w:sz="2" w:space="0" w:color="231F20"/>
            </w:tcBorders>
            <w:shd w:val="clear" w:color="auto" w:fill="F9F9F9"/>
            <w:vAlign w:val="center"/>
          </w:tcPr>
          <w:p w14:paraId="1A1FE468"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48A2F2A" w14:textId="77777777" w:rsidR="00412DBD" w:rsidRDefault="00412DBD" w:rsidP="00412DBD">
            <w:pPr>
              <w:pStyle w:val="TableText"/>
              <w:jc w:val="center"/>
              <w:rPr>
                <w:color w:val="231F20"/>
                <w:sz w:val="14"/>
              </w:rPr>
            </w:pPr>
          </w:p>
        </w:tc>
      </w:tr>
      <w:tr w:rsidR="00412DBD" w14:paraId="4B09F9BF" w14:textId="77777777" w:rsidTr="00412DBD">
        <w:trPr>
          <w:trHeight w:val="369"/>
        </w:trPr>
        <w:tc>
          <w:tcPr>
            <w:tcW w:w="4500" w:type="dxa"/>
            <w:tcBorders>
              <w:left w:val="single" w:sz="2" w:space="0" w:color="231F20"/>
              <w:right w:val="single" w:sz="2" w:space="0" w:color="231F20"/>
            </w:tcBorders>
            <w:shd w:val="clear" w:color="auto" w:fill="FFFFFF" w:themeFill="text1"/>
          </w:tcPr>
          <w:p w14:paraId="3FDA1B90" w14:textId="77777777" w:rsidR="00412DBD" w:rsidRDefault="00412DBD" w:rsidP="00412DBD">
            <w:pPr>
              <w:pStyle w:val="TableText"/>
              <w:rPr>
                <w:color w:val="231F20"/>
                <w:sz w:val="14"/>
              </w:rPr>
            </w:pPr>
            <w:r w:rsidRPr="008751A5">
              <w:t>Split Engineering Chile Ltda</w:t>
            </w:r>
          </w:p>
        </w:tc>
        <w:tc>
          <w:tcPr>
            <w:tcW w:w="1710" w:type="dxa"/>
            <w:vMerge/>
            <w:tcBorders>
              <w:left w:val="single" w:sz="2" w:space="0" w:color="231F20"/>
              <w:right w:val="single" w:sz="2" w:space="0" w:color="231F20"/>
            </w:tcBorders>
            <w:shd w:val="clear" w:color="auto" w:fill="F9F9F9"/>
            <w:vAlign w:val="center"/>
          </w:tcPr>
          <w:p w14:paraId="2D603E5A"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6044D0C5" w14:textId="77777777" w:rsidR="00412DBD" w:rsidRDefault="00412DBD" w:rsidP="00412DBD">
            <w:pPr>
              <w:pStyle w:val="TableText"/>
              <w:jc w:val="center"/>
              <w:rPr>
                <w:color w:val="231F20"/>
                <w:sz w:val="14"/>
              </w:rPr>
            </w:pPr>
          </w:p>
        </w:tc>
      </w:tr>
      <w:tr w:rsidR="00412DBD" w14:paraId="2EEE627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8BEE89B" w14:textId="77777777" w:rsidR="00412DBD" w:rsidRPr="00B145FF" w:rsidRDefault="00412DBD" w:rsidP="00412DBD">
            <w:pPr>
              <w:pStyle w:val="TableText"/>
              <w:jc w:val="center"/>
              <w:rPr>
                <w:color w:val="231F20"/>
                <w:sz w:val="2"/>
                <w:szCs w:val="2"/>
              </w:rPr>
            </w:pPr>
          </w:p>
        </w:tc>
      </w:tr>
      <w:tr w:rsidR="00412DBD" w14:paraId="2C877EB8" w14:textId="77777777" w:rsidTr="00412DBD">
        <w:trPr>
          <w:trHeight w:val="405"/>
        </w:trPr>
        <w:tc>
          <w:tcPr>
            <w:tcW w:w="4500" w:type="dxa"/>
            <w:tcBorders>
              <w:left w:val="single" w:sz="2" w:space="0" w:color="231F20"/>
              <w:right w:val="single" w:sz="2" w:space="0" w:color="231F20"/>
            </w:tcBorders>
            <w:shd w:val="clear" w:color="auto" w:fill="F9F9F9"/>
          </w:tcPr>
          <w:p w14:paraId="0A43649E" w14:textId="77777777" w:rsidR="00412DBD" w:rsidRDefault="00412DBD" w:rsidP="00412DBD">
            <w:pPr>
              <w:pStyle w:val="TableText"/>
              <w:rPr>
                <w:color w:val="231F20"/>
                <w:sz w:val="14"/>
              </w:rPr>
            </w:pPr>
            <w:r w:rsidRPr="007758B9">
              <w:t>Hexagon Mining Colombia S.A.S.</w:t>
            </w:r>
          </w:p>
        </w:tc>
        <w:tc>
          <w:tcPr>
            <w:tcW w:w="1710" w:type="dxa"/>
            <w:tcBorders>
              <w:left w:val="single" w:sz="2" w:space="0" w:color="231F20"/>
              <w:right w:val="single" w:sz="2" w:space="0" w:color="231F20"/>
            </w:tcBorders>
            <w:shd w:val="clear" w:color="auto" w:fill="F9F9F9"/>
            <w:vAlign w:val="center"/>
          </w:tcPr>
          <w:p w14:paraId="5677B386" w14:textId="3CF01A3B" w:rsidR="00412DBD" w:rsidRDefault="00412DBD" w:rsidP="00412DBD">
            <w:pPr>
              <w:pStyle w:val="TableText"/>
              <w:jc w:val="center"/>
              <w:rPr>
                <w:color w:val="231F20"/>
                <w:sz w:val="14"/>
              </w:rPr>
            </w:pPr>
            <w:r w:rsidRPr="007758B9">
              <w:t>Col</w:t>
            </w:r>
            <w:r w:rsidR="00FA6ECA" w:rsidRPr="00FA6ECA">
              <w:rPr>
                <w:rFonts w:cs="Arial"/>
                <w:szCs w:val="16"/>
                <w:lang w:val="pt-BR"/>
              </w:rPr>
              <w:t>ô</w:t>
            </w:r>
            <w:r w:rsidRPr="007758B9">
              <w:t>mbia</w:t>
            </w:r>
          </w:p>
        </w:tc>
        <w:tc>
          <w:tcPr>
            <w:tcW w:w="2790" w:type="dxa"/>
            <w:tcBorders>
              <w:left w:val="single" w:sz="2" w:space="0" w:color="231F20"/>
              <w:right w:val="single" w:sz="2" w:space="0" w:color="231F20"/>
            </w:tcBorders>
            <w:shd w:val="clear" w:color="auto" w:fill="F9F9F9"/>
            <w:vAlign w:val="center"/>
          </w:tcPr>
          <w:p w14:paraId="492F0960" w14:textId="77777777" w:rsidR="00412DBD" w:rsidRDefault="00412DBD" w:rsidP="00412DBD">
            <w:pPr>
              <w:pStyle w:val="TableText"/>
              <w:jc w:val="center"/>
              <w:rPr>
                <w:color w:val="231F20"/>
                <w:sz w:val="14"/>
              </w:rPr>
            </w:pPr>
            <w:r w:rsidRPr="007758B9">
              <w:t>Bogotá</w:t>
            </w:r>
          </w:p>
        </w:tc>
      </w:tr>
      <w:tr w:rsidR="00412DBD" w14:paraId="7685F4EE"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5152053" w14:textId="77777777" w:rsidR="00412DBD" w:rsidRPr="00B145FF" w:rsidRDefault="00412DBD" w:rsidP="00412DBD">
            <w:pPr>
              <w:pStyle w:val="TableText"/>
              <w:jc w:val="center"/>
              <w:rPr>
                <w:sz w:val="2"/>
                <w:szCs w:val="2"/>
              </w:rPr>
            </w:pPr>
          </w:p>
        </w:tc>
      </w:tr>
      <w:tr w:rsidR="00412DBD" w14:paraId="1B485CF1" w14:textId="77777777" w:rsidTr="00412DBD">
        <w:trPr>
          <w:trHeight w:val="171"/>
        </w:trPr>
        <w:tc>
          <w:tcPr>
            <w:tcW w:w="4500" w:type="dxa"/>
            <w:tcBorders>
              <w:left w:val="single" w:sz="2" w:space="0" w:color="231F20"/>
              <w:right w:val="single" w:sz="2" w:space="0" w:color="231F20"/>
            </w:tcBorders>
            <w:shd w:val="clear" w:color="auto" w:fill="E6E7E8"/>
          </w:tcPr>
          <w:p w14:paraId="0C123411" w14:textId="77777777" w:rsidR="00412DBD" w:rsidRDefault="00412DBD" w:rsidP="00412DBD">
            <w:pPr>
              <w:pStyle w:val="TableText"/>
              <w:rPr>
                <w:color w:val="231F20"/>
                <w:sz w:val="14"/>
              </w:rPr>
            </w:pPr>
            <w:r>
              <w:t>BMT Africa Pty Ltd. – Branch Ghana</w:t>
            </w:r>
          </w:p>
        </w:tc>
        <w:tc>
          <w:tcPr>
            <w:tcW w:w="1710" w:type="dxa"/>
            <w:vMerge w:val="restart"/>
            <w:tcBorders>
              <w:left w:val="single" w:sz="2" w:space="0" w:color="231F20"/>
              <w:right w:val="single" w:sz="2" w:space="0" w:color="231F20"/>
            </w:tcBorders>
            <w:shd w:val="clear" w:color="auto" w:fill="F9F9F9"/>
            <w:vAlign w:val="center"/>
          </w:tcPr>
          <w:p w14:paraId="31642F57" w14:textId="77777777" w:rsidR="00412DBD" w:rsidRDefault="00412DBD" w:rsidP="00412DBD">
            <w:pPr>
              <w:pStyle w:val="TableText"/>
              <w:jc w:val="center"/>
              <w:rPr>
                <w:color w:val="231F20"/>
                <w:sz w:val="14"/>
              </w:rPr>
            </w:pPr>
            <w:r>
              <w:t>Ghana</w:t>
            </w:r>
          </w:p>
        </w:tc>
        <w:tc>
          <w:tcPr>
            <w:tcW w:w="2790" w:type="dxa"/>
            <w:vMerge w:val="restart"/>
            <w:tcBorders>
              <w:left w:val="single" w:sz="2" w:space="0" w:color="231F20"/>
              <w:right w:val="single" w:sz="2" w:space="0" w:color="231F20"/>
            </w:tcBorders>
            <w:shd w:val="clear" w:color="auto" w:fill="F9F9F9"/>
            <w:vAlign w:val="center"/>
          </w:tcPr>
          <w:p w14:paraId="6B78FB2A" w14:textId="77777777" w:rsidR="00412DBD" w:rsidRDefault="00412DBD" w:rsidP="00412DBD">
            <w:pPr>
              <w:pStyle w:val="TableText"/>
              <w:jc w:val="center"/>
              <w:rPr>
                <w:color w:val="231F20"/>
                <w:sz w:val="14"/>
              </w:rPr>
            </w:pPr>
            <w:r>
              <w:t>Accra</w:t>
            </w:r>
          </w:p>
        </w:tc>
      </w:tr>
      <w:tr w:rsidR="00412DBD" w14:paraId="79469BD9" w14:textId="77777777" w:rsidTr="00412DBD">
        <w:trPr>
          <w:trHeight w:val="414"/>
        </w:trPr>
        <w:tc>
          <w:tcPr>
            <w:tcW w:w="4500" w:type="dxa"/>
            <w:tcBorders>
              <w:left w:val="single" w:sz="2" w:space="0" w:color="231F20"/>
              <w:right w:val="single" w:sz="2" w:space="0" w:color="231F20"/>
            </w:tcBorders>
            <w:shd w:val="clear" w:color="auto" w:fill="FFFFFF" w:themeFill="text2"/>
          </w:tcPr>
          <w:p w14:paraId="42224592" w14:textId="77777777" w:rsidR="00412DBD" w:rsidRDefault="00412DBD" w:rsidP="00412DBD">
            <w:pPr>
              <w:pStyle w:val="TableText"/>
              <w:rPr>
                <w:color w:val="231F20"/>
                <w:sz w:val="14"/>
              </w:rPr>
            </w:pPr>
            <w:r>
              <w:t>Guardvant Ghana Ltd</w:t>
            </w:r>
          </w:p>
        </w:tc>
        <w:tc>
          <w:tcPr>
            <w:tcW w:w="1710" w:type="dxa"/>
            <w:vMerge/>
            <w:tcBorders>
              <w:left w:val="single" w:sz="2" w:space="0" w:color="231F20"/>
              <w:right w:val="single" w:sz="2" w:space="0" w:color="231F20"/>
            </w:tcBorders>
            <w:shd w:val="clear" w:color="auto" w:fill="F9F9F9"/>
            <w:vAlign w:val="center"/>
          </w:tcPr>
          <w:p w14:paraId="37D3B879"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058C9E8" w14:textId="77777777" w:rsidR="00412DBD" w:rsidRDefault="00412DBD" w:rsidP="00412DBD">
            <w:pPr>
              <w:pStyle w:val="TableText"/>
              <w:jc w:val="center"/>
              <w:rPr>
                <w:color w:val="231F20"/>
                <w:sz w:val="14"/>
              </w:rPr>
            </w:pPr>
          </w:p>
        </w:tc>
      </w:tr>
      <w:tr w:rsidR="00412DBD" w14:paraId="3B2B63E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24D5DA7B" w14:textId="77777777" w:rsidR="00412DBD" w:rsidRPr="00B145FF" w:rsidRDefault="00412DBD" w:rsidP="00412DBD">
            <w:pPr>
              <w:pStyle w:val="TableText"/>
              <w:jc w:val="center"/>
              <w:rPr>
                <w:sz w:val="2"/>
                <w:szCs w:val="2"/>
              </w:rPr>
            </w:pPr>
          </w:p>
        </w:tc>
      </w:tr>
      <w:tr w:rsidR="00412DBD" w14:paraId="3F212EA9" w14:textId="77777777" w:rsidTr="00412DBD">
        <w:trPr>
          <w:trHeight w:val="405"/>
        </w:trPr>
        <w:tc>
          <w:tcPr>
            <w:tcW w:w="4500" w:type="dxa"/>
            <w:tcBorders>
              <w:left w:val="single" w:sz="2" w:space="0" w:color="231F20"/>
              <w:right w:val="single" w:sz="2" w:space="0" w:color="231F20"/>
            </w:tcBorders>
            <w:shd w:val="clear" w:color="auto" w:fill="F9F9F9"/>
          </w:tcPr>
          <w:p w14:paraId="0AA41F69" w14:textId="77777777" w:rsidR="00412DBD" w:rsidRPr="001E536B" w:rsidRDefault="00412DBD" w:rsidP="00412DBD">
            <w:pPr>
              <w:pStyle w:val="TableText"/>
            </w:pPr>
            <w:r w:rsidRPr="001E536B">
              <w:t>IDS Georadar S.R.L.</w:t>
            </w:r>
          </w:p>
        </w:tc>
        <w:tc>
          <w:tcPr>
            <w:tcW w:w="1710" w:type="dxa"/>
            <w:tcBorders>
              <w:left w:val="single" w:sz="2" w:space="0" w:color="231F20"/>
              <w:right w:val="single" w:sz="2" w:space="0" w:color="231F20"/>
            </w:tcBorders>
            <w:shd w:val="clear" w:color="auto" w:fill="F9F9F9"/>
            <w:vAlign w:val="center"/>
          </w:tcPr>
          <w:p w14:paraId="5555C31B" w14:textId="52BBBDFD" w:rsidR="00412DBD" w:rsidRPr="00FA6ECA" w:rsidRDefault="00FA6ECA" w:rsidP="00412DBD">
            <w:pPr>
              <w:pStyle w:val="TableText"/>
              <w:jc w:val="center"/>
              <w:rPr>
                <w:szCs w:val="16"/>
              </w:rPr>
            </w:pPr>
            <w:r w:rsidRPr="00FA6ECA">
              <w:rPr>
                <w:rFonts w:cs="Arial"/>
                <w:szCs w:val="16"/>
                <w:lang w:val="pt-BR"/>
              </w:rPr>
              <w:t>Itália</w:t>
            </w:r>
          </w:p>
        </w:tc>
        <w:tc>
          <w:tcPr>
            <w:tcW w:w="2790" w:type="dxa"/>
            <w:tcBorders>
              <w:left w:val="single" w:sz="2" w:space="0" w:color="231F20"/>
              <w:right w:val="single" w:sz="2" w:space="0" w:color="231F20"/>
            </w:tcBorders>
            <w:shd w:val="clear" w:color="auto" w:fill="F9F9F9"/>
            <w:vAlign w:val="center"/>
          </w:tcPr>
          <w:p w14:paraId="562AB2FB" w14:textId="77777777" w:rsidR="00412DBD" w:rsidRPr="001E536B" w:rsidRDefault="00412DBD" w:rsidP="00412DBD">
            <w:pPr>
              <w:pStyle w:val="TableText"/>
              <w:jc w:val="center"/>
            </w:pPr>
            <w:r w:rsidRPr="001E536B">
              <w:t>Pisa</w:t>
            </w:r>
          </w:p>
        </w:tc>
      </w:tr>
      <w:tr w:rsidR="00412DBD" w14:paraId="03C230B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7707DD50" w14:textId="77777777" w:rsidR="00412DBD" w:rsidRPr="00B145FF" w:rsidRDefault="00412DBD" w:rsidP="00412DBD">
            <w:pPr>
              <w:pStyle w:val="TableText"/>
              <w:jc w:val="center"/>
              <w:rPr>
                <w:sz w:val="2"/>
                <w:szCs w:val="2"/>
              </w:rPr>
            </w:pPr>
          </w:p>
        </w:tc>
      </w:tr>
      <w:tr w:rsidR="00412DBD" w14:paraId="350F0E25" w14:textId="77777777" w:rsidTr="00412DBD">
        <w:trPr>
          <w:trHeight w:val="171"/>
        </w:trPr>
        <w:tc>
          <w:tcPr>
            <w:tcW w:w="4500" w:type="dxa"/>
            <w:tcBorders>
              <w:left w:val="single" w:sz="2" w:space="0" w:color="231F20"/>
              <w:right w:val="single" w:sz="2" w:space="0" w:color="231F20"/>
            </w:tcBorders>
            <w:shd w:val="clear" w:color="auto" w:fill="E6E7E8"/>
          </w:tcPr>
          <w:p w14:paraId="4BD295B2" w14:textId="77777777" w:rsidR="00412DBD" w:rsidRPr="00B145FF" w:rsidRDefault="00412DBD" w:rsidP="00412DBD">
            <w:pPr>
              <w:pStyle w:val="TableText"/>
            </w:pPr>
            <w:r w:rsidRPr="00B145FF">
              <w:t>Guardvant Mexico S de RL de CV</w:t>
            </w:r>
          </w:p>
        </w:tc>
        <w:tc>
          <w:tcPr>
            <w:tcW w:w="1710" w:type="dxa"/>
            <w:vMerge w:val="restart"/>
            <w:tcBorders>
              <w:left w:val="single" w:sz="2" w:space="0" w:color="231F20"/>
              <w:right w:val="single" w:sz="2" w:space="0" w:color="231F20"/>
            </w:tcBorders>
            <w:shd w:val="clear" w:color="auto" w:fill="F9F9F9"/>
            <w:vAlign w:val="center"/>
          </w:tcPr>
          <w:p w14:paraId="68C5AB9F" w14:textId="34BA265E" w:rsidR="00412DBD" w:rsidRPr="00FA6ECA" w:rsidRDefault="00FA6ECA" w:rsidP="00412DBD">
            <w:pPr>
              <w:pStyle w:val="TableText"/>
              <w:jc w:val="center"/>
              <w:rPr>
                <w:szCs w:val="16"/>
              </w:rPr>
            </w:pPr>
            <w:r w:rsidRPr="00FA6ECA">
              <w:rPr>
                <w:rFonts w:cs="Arial"/>
                <w:szCs w:val="16"/>
                <w:lang w:val="pt-BR"/>
              </w:rPr>
              <w:t>México</w:t>
            </w:r>
          </w:p>
        </w:tc>
        <w:tc>
          <w:tcPr>
            <w:tcW w:w="2790" w:type="dxa"/>
            <w:tcBorders>
              <w:left w:val="single" w:sz="2" w:space="0" w:color="231F20"/>
              <w:right w:val="single" w:sz="2" w:space="0" w:color="231F20"/>
            </w:tcBorders>
            <w:shd w:val="clear" w:color="auto" w:fill="E6E7E8"/>
          </w:tcPr>
          <w:p w14:paraId="0255EA6D" w14:textId="77777777" w:rsidR="00412DBD" w:rsidRPr="00B145FF" w:rsidRDefault="00412DBD" w:rsidP="00412DBD">
            <w:pPr>
              <w:pStyle w:val="TableText"/>
              <w:jc w:val="center"/>
            </w:pPr>
            <w:r w:rsidRPr="00B145FF">
              <w:t>Santa Fé</w:t>
            </w:r>
          </w:p>
        </w:tc>
      </w:tr>
      <w:tr w:rsidR="00412DBD" w14:paraId="012478C7" w14:textId="77777777" w:rsidTr="00412DBD">
        <w:trPr>
          <w:trHeight w:val="324"/>
        </w:trPr>
        <w:tc>
          <w:tcPr>
            <w:tcW w:w="4500" w:type="dxa"/>
            <w:tcBorders>
              <w:left w:val="single" w:sz="2" w:space="0" w:color="231F20"/>
              <w:right w:val="single" w:sz="2" w:space="0" w:color="231F20"/>
            </w:tcBorders>
            <w:shd w:val="clear" w:color="auto" w:fill="FFFFFF" w:themeFill="text2"/>
          </w:tcPr>
          <w:p w14:paraId="1D9E8447" w14:textId="77777777" w:rsidR="00412DBD" w:rsidRPr="00B145FF" w:rsidRDefault="00412DBD" w:rsidP="00412DBD">
            <w:pPr>
              <w:pStyle w:val="TableText"/>
            </w:pPr>
            <w:r w:rsidRPr="00B145FF">
              <w:t>Hexagon Mining Mexico</w:t>
            </w:r>
          </w:p>
        </w:tc>
        <w:tc>
          <w:tcPr>
            <w:tcW w:w="1710" w:type="dxa"/>
            <w:vMerge/>
            <w:tcBorders>
              <w:left w:val="single" w:sz="2" w:space="0" w:color="231F20"/>
              <w:right w:val="single" w:sz="2" w:space="0" w:color="231F20"/>
            </w:tcBorders>
            <w:shd w:val="clear" w:color="auto" w:fill="F9F9F9"/>
            <w:vAlign w:val="center"/>
          </w:tcPr>
          <w:p w14:paraId="6545524F" w14:textId="77777777" w:rsidR="00412DBD" w:rsidRPr="00B145FF" w:rsidRDefault="00412DBD" w:rsidP="00412DBD">
            <w:pPr>
              <w:pStyle w:val="TableText"/>
              <w:jc w:val="center"/>
            </w:pPr>
          </w:p>
        </w:tc>
        <w:tc>
          <w:tcPr>
            <w:tcW w:w="2790" w:type="dxa"/>
            <w:tcBorders>
              <w:left w:val="single" w:sz="2" w:space="0" w:color="231F20"/>
              <w:right w:val="single" w:sz="2" w:space="0" w:color="231F20"/>
            </w:tcBorders>
            <w:shd w:val="clear" w:color="auto" w:fill="FFFFFF" w:themeFill="text2"/>
          </w:tcPr>
          <w:p w14:paraId="2F739B95" w14:textId="77777777" w:rsidR="00412DBD" w:rsidRPr="00B145FF" w:rsidRDefault="00412DBD" w:rsidP="00412DBD">
            <w:pPr>
              <w:pStyle w:val="TableText"/>
              <w:jc w:val="center"/>
            </w:pPr>
            <w:r w:rsidRPr="00B145FF">
              <w:t>Hermosillo</w:t>
            </w:r>
          </w:p>
        </w:tc>
      </w:tr>
      <w:tr w:rsidR="00412DBD" w14:paraId="215E99B8" w14:textId="77777777" w:rsidTr="00412DBD">
        <w:trPr>
          <w:trHeight w:val="43"/>
        </w:trPr>
        <w:tc>
          <w:tcPr>
            <w:tcW w:w="9000" w:type="dxa"/>
            <w:gridSpan w:val="3"/>
            <w:tcBorders>
              <w:left w:val="single" w:sz="2" w:space="0" w:color="231F20"/>
              <w:right w:val="single" w:sz="2" w:space="0" w:color="231F20"/>
            </w:tcBorders>
            <w:shd w:val="clear" w:color="auto" w:fill="333333" w:themeFill="background1"/>
            <w:vAlign w:val="center"/>
          </w:tcPr>
          <w:p w14:paraId="6F3A0F01" w14:textId="77777777" w:rsidR="00412DBD" w:rsidRPr="00BC39E0" w:rsidRDefault="00412DBD" w:rsidP="00412DBD">
            <w:pPr>
              <w:pStyle w:val="TableText"/>
              <w:jc w:val="center"/>
              <w:rPr>
                <w:sz w:val="2"/>
                <w:szCs w:val="2"/>
              </w:rPr>
            </w:pPr>
            <w:r w:rsidRPr="00BC39E0">
              <w:rPr>
                <w:sz w:val="2"/>
                <w:szCs w:val="2"/>
              </w:rPr>
              <w:t>x</w:t>
            </w:r>
          </w:p>
        </w:tc>
      </w:tr>
      <w:tr w:rsidR="00412DBD" w14:paraId="0D6F433F" w14:textId="77777777" w:rsidTr="00412DBD">
        <w:trPr>
          <w:trHeight w:val="315"/>
        </w:trPr>
        <w:tc>
          <w:tcPr>
            <w:tcW w:w="4500" w:type="dxa"/>
            <w:tcBorders>
              <w:left w:val="single" w:sz="2" w:space="0" w:color="231F20"/>
              <w:right w:val="single" w:sz="2" w:space="0" w:color="231F20"/>
            </w:tcBorders>
            <w:shd w:val="clear" w:color="auto" w:fill="F9F9F9"/>
          </w:tcPr>
          <w:p w14:paraId="453BECB4" w14:textId="77777777" w:rsidR="00412DBD" w:rsidRPr="00B145FF" w:rsidRDefault="00412DBD" w:rsidP="00412DBD">
            <w:pPr>
              <w:pStyle w:val="TableText"/>
            </w:pPr>
            <w:r w:rsidRPr="00B145FF">
              <w:t>Leica Geosystems S.A.R.L.</w:t>
            </w:r>
          </w:p>
        </w:tc>
        <w:tc>
          <w:tcPr>
            <w:tcW w:w="1710" w:type="dxa"/>
            <w:tcBorders>
              <w:left w:val="single" w:sz="2" w:space="0" w:color="231F20"/>
              <w:right w:val="single" w:sz="2" w:space="0" w:color="231F20"/>
            </w:tcBorders>
            <w:shd w:val="clear" w:color="auto" w:fill="F9F9F9"/>
            <w:vAlign w:val="center"/>
          </w:tcPr>
          <w:p w14:paraId="26F48C76" w14:textId="77777777" w:rsidR="00412DBD" w:rsidRPr="00B145FF" w:rsidRDefault="00412DBD" w:rsidP="00412DBD">
            <w:pPr>
              <w:pStyle w:val="TableText"/>
              <w:jc w:val="center"/>
            </w:pPr>
            <w:r w:rsidRPr="00B145FF">
              <w:t>Morocco</w:t>
            </w:r>
          </w:p>
        </w:tc>
        <w:tc>
          <w:tcPr>
            <w:tcW w:w="2790" w:type="dxa"/>
            <w:tcBorders>
              <w:left w:val="single" w:sz="2" w:space="0" w:color="231F20"/>
              <w:right w:val="single" w:sz="2" w:space="0" w:color="231F20"/>
            </w:tcBorders>
            <w:shd w:val="clear" w:color="auto" w:fill="F9F9F9"/>
            <w:vAlign w:val="center"/>
          </w:tcPr>
          <w:p w14:paraId="0EBD40E5" w14:textId="77777777" w:rsidR="00412DBD" w:rsidRPr="00B145FF" w:rsidRDefault="00412DBD" w:rsidP="00412DBD">
            <w:pPr>
              <w:pStyle w:val="TableText"/>
              <w:jc w:val="center"/>
            </w:pPr>
            <w:r w:rsidRPr="00B145FF">
              <w:t>Morocco</w:t>
            </w:r>
          </w:p>
        </w:tc>
      </w:tr>
      <w:tr w:rsidR="00412DBD" w14:paraId="6B3EDA36"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00738841" w14:textId="77777777" w:rsidR="00412DBD" w:rsidRPr="00B145FF" w:rsidRDefault="00412DBD" w:rsidP="00412DBD">
            <w:pPr>
              <w:pStyle w:val="TableText"/>
              <w:jc w:val="center"/>
              <w:rPr>
                <w:sz w:val="2"/>
                <w:szCs w:val="2"/>
              </w:rPr>
            </w:pPr>
          </w:p>
        </w:tc>
      </w:tr>
      <w:tr w:rsidR="00412DBD" w14:paraId="766A870F" w14:textId="77777777" w:rsidTr="00412DBD">
        <w:trPr>
          <w:trHeight w:val="171"/>
        </w:trPr>
        <w:tc>
          <w:tcPr>
            <w:tcW w:w="4500" w:type="dxa"/>
            <w:tcBorders>
              <w:left w:val="single" w:sz="2" w:space="0" w:color="231F20"/>
              <w:right w:val="single" w:sz="2" w:space="0" w:color="231F20"/>
            </w:tcBorders>
            <w:shd w:val="clear" w:color="auto" w:fill="E6E7E8"/>
          </w:tcPr>
          <w:p w14:paraId="65463716" w14:textId="77777777" w:rsidR="00412DBD" w:rsidRPr="00B145FF" w:rsidRDefault="00412DBD" w:rsidP="00412DBD">
            <w:pPr>
              <w:pStyle w:val="TableText"/>
            </w:pPr>
            <w:r w:rsidRPr="00B145FF">
              <w:t>Guardvant S.A.C.</w:t>
            </w:r>
          </w:p>
        </w:tc>
        <w:tc>
          <w:tcPr>
            <w:tcW w:w="1710" w:type="dxa"/>
            <w:vMerge w:val="restart"/>
            <w:tcBorders>
              <w:left w:val="single" w:sz="2" w:space="0" w:color="231F20"/>
              <w:right w:val="single" w:sz="2" w:space="0" w:color="231F20"/>
            </w:tcBorders>
            <w:shd w:val="clear" w:color="auto" w:fill="F9F9F9"/>
            <w:vAlign w:val="center"/>
          </w:tcPr>
          <w:p w14:paraId="51BC3AE8" w14:textId="77777777" w:rsidR="00412DBD" w:rsidRPr="00B145FF" w:rsidRDefault="00412DBD" w:rsidP="00412DBD">
            <w:pPr>
              <w:pStyle w:val="TableText"/>
              <w:jc w:val="center"/>
            </w:pPr>
            <w:r w:rsidRPr="00B145FF">
              <w:t>Peru</w:t>
            </w:r>
          </w:p>
        </w:tc>
        <w:tc>
          <w:tcPr>
            <w:tcW w:w="2790" w:type="dxa"/>
            <w:vMerge w:val="restart"/>
            <w:tcBorders>
              <w:left w:val="single" w:sz="2" w:space="0" w:color="231F20"/>
              <w:right w:val="single" w:sz="2" w:space="0" w:color="231F20"/>
            </w:tcBorders>
            <w:shd w:val="clear" w:color="auto" w:fill="F9F9F9"/>
            <w:vAlign w:val="center"/>
          </w:tcPr>
          <w:p w14:paraId="3D2CB00C" w14:textId="77777777" w:rsidR="00412DBD" w:rsidRPr="00B145FF" w:rsidRDefault="00412DBD" w:rsidP="00412DBD">
            <w:pPr>
              <w:pStyle w:val="TableText"/>
              <w:jc w:val="center"/>
            </w:pPr>
            <w:r w:rsidRPr="00B145FF">
              <w:t>Lima</w:t>
            </w:r>
          </w:p>
        </w:tc>
      </w:tr>
      <w:tr w:rsidR="00412DBD" w14:paraId="1CC062AC" w14:textId="77777777" w:rsidTr="00412DBD">
        <w:trPr>
          <w:trHeight w:val="171"/>
        </w:trPr>
        <w:tc>
          <w:tcPr>
            <w:tcW w:w="4500" w:type="dxa"/>
            <w:tcBorders>
              <w:left w:val="single" w:sz="2" w:space="0" w:color="231F20"/>
              <w:right w:val="single" w:sz="2" w:space="0" w:color="231F20"/>
            </w:tcBorders>
            <w:shd w:val="clear" w:color="auto" w:fill="FFFFFF" w:themeFill="text2"/>
          </w:tcPr>
          <w:p w14:paraId="6FCC4E52" w14:textId="77777777" w:rsidR="00412DBD" w:rsidRPr="00B145FF" w:rsidRDefault="00412DBD" w:rsidP="00412DBD">
            <w:pPr>
              <w:pStyle w:val="TableText"/>
            </w:pPr>
            <w:r w:rsidRPr="00B145FF">
              <w:t>Hexagon Mining Perú S.A.C.</w:t>
            </w:r>
          </w:p>
        </w:tc>
        <w:tc>
          <w:tcPr>
            <w:tcW w:w="1710" w:type="dxa"/>
            <w:vMerge/>
            <w:tcBorders>
              <w:left w:val="single" w:sz="2" w:space="0" w:color="231F20"/>
              <w:right w:val="single" w:sz="2" w:space="0" w:color="231F20"/>
            </w:tcBorders>
            <w:shd w:val="clear" w:color="auto" w:fill="F9F9F9"/>
            <w:vAlign w:val="center"/>
          </w:tcPr>
          <w:p w14:paraId="0BE59402"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16BB9B7" w14:textId="77777777" w:rsidR="00412DBD" w:rsidRPr="00B145FF" w:rsidRDefault="00412DBD" w:rsidP="00412DBD">
            <w:pPr>
              <w:pStyle w:val="TableText"/>
              <w:jc w:val="center"/>
            </w:pPr>
          </w:p>
        </w:tc>
      </w:tr>
      <w:tr w:rsidR="00412DBD" w14:paraId="68DAB07F" w14:textId="77777777" w:rsidTr="00412DBD">
        <w:trPr>
          <w:trHeight w:val="162"/>
        </w:trPr>
        <w:tc>
          <w:tcPr>
            <w:tcW w:w="4500" w:type="dxa"/>
            <w:tcBorders>
              <w:left w:val="single" w:sz="2" w:space="0" w:color="231F20"/>
              <w:right w:val="single" w:sz="2" w:space="0" w:color="231F20"/>
            </w:tcBorders>
            <w:shd w:val="clear" w:color="auto" w:fill="E6E7E8"/>
          </w:tcPr>
          <w:p w14:paraId="1B961503" w14:textId="77777777" w:rsidR="00412DBD" w:rsidRPr="00B145FF" w:rsidRDefault="00412DBD" w:rsidP="00412DBD">
            <w:pPr>
              <w:pStyle w:val="TableText"/>
            </w:pPr>
            <w:r w:rsidRPr="00B145FF">
              <w:t>Leica Geosystems S.A.C.</w:t>
            </w:r>
          </w:p>
        </w:tc>
        <w:tc>
          <w:tcPr>
            <w:tcW w:w="1710" w:type="dxa"/>
            <w:vMerge/>
            <w:tcBorders>
              <w:left w:val="single" w:sz="2" w:space="0" w:color="231F20"/>
              <w:right w:val="single" w:sz="2" w:space="0" w:color="231F20"/>
            </w:tcBorders>
            <w:shd w:val="clear" w:color="auto" w:fill="F9F9F9"/>
            <w:vAlign w:val="center"/>
          </w:tcPr>
          <w:p w14:paraId="67B0DFBA"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783DDA5" w14:textId="77777777" w:rsidR="00412DBD" w:rsidRPr="00B145FF" w:rsidRDefault="00412DBD" w:rsidP="00412DBD">
            <w:pPr>
              <w:pStyle w:val="TableText"/>
              <w:jc w:val="center"/>
            </w:pPr>
          </w:p>
        </w:tc>
      </w:tr>
      <w:tr w:rsidR="00412DBD" w14:paraId="3985D2E7" w14:textId="77777777" w:rsidTr="00412DBD">
        <w:trPr>
          <w:trHeight w:val="306"/>
        </w:trPr>
        <w:tc>
          <w:tcPr>
            <w:tcW w:w="4500" w:type="dxa"/>
            <w:tcBorders>
              <w:left w:val="single" w:sz="2" w:space="0" w:color="231F20"/>
              <w:right w:val="single" w:sz="2" w:space="0" w:color="231F20"/>
            </w:tcBorders>
            <w:shd w:val="clear" w:color="auto" w:fill="FFFFFF" w:themeFill="text2"/>
          </w:tcPr>
          <w:p w14:paraId="28B1E2C3" w14:textId="77777777" w:rsidR="00412DBD" w:rsidRPr="00B145FF" w:rsidRDefault="00412DBD" w:rsidP="00412DBD">
            <w:pPr>
              <w:pStyle w:val="TableText"/>
            </w:pPr>
            <w:r w:rsidRPr="00B145FF">
              <w:t>Split Engineering Peru S.R.L.</w:t>
            </w:r>
          </w:p>
        </w:tc>
        <w:tc>
          <w:tcPr>
            <w:tcW w:w="1710" w:type="dxa"/>
            <w:vMerge/>
            <w:tcBorders>
              <w:left w:val="single" w:sz="2" w:space="0" w:color="231F20"/>
              <w:right w:val="single" w:sz="2" w:space="0" w:color="231F20"/>
            </w:tcBorders>
            <w:shd w:val="clear" w:color="auto" w:fill="F9F9F9"/>
            <w:vAlign w:val="center"/>
          </w:tcPr>
          <w:p w14:paraId="4B551886"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1A9AA3AD" w14:textId="77777777" w:rsidR="00412DBD" w:rsidRPr="00B145FF" w:rsidRDefault="00412DBD" w:rsidP="00412DBD">
            <w:pPr>
              <w:pStyle w:val="TableText"/>
              <w:jc w:val="center"/>
            </w:pPr>
          </w:p>
        </w:tc>
      </w:tr>
      <w:tr w:rsidR="00412DBD" w14:paraId="2B957C7F"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DF8C474" w14:textId="77777777" w:rsidR="00412DBD" w:rsidRPr="00B145FF" w:rsidRDefault="00412DBD" w:rsidP="00412DBD">
            <w:pPr>
              <w:pStyle w:val="TableText"/>
              <w:jc w:val="center"/>
              <w:rPr>
                <w:sz w:val="2"/>
                <w:szCs w:val="2"/>
              </w:rPr>
            </w:pPr>
          </w:p>
        </w:tc>
      </w:tr>
      <w:tr w:rsidR="00412DBD" w14:paraId="2D2F363D" w14:textId="77777777" w:rsidTr="00412DBD">
        <w:trPr>
          <w:trHeight w:val="153"/>
        </w:trPr>
        <w:tc>
          <w:tcPr>
            <w:tcW w:w="4500" w:type="dxa"/>
            <w:tcBorders>
              <w:left w:val="single" w:sz="2" w:space="0" w:color="231F20"/>
              <w:right w:val="single" w:sz="2" w:space="0" w:color="231F20"/>
            </w:tcBorders>
            <w:shd w:val="clear" w:color="auto" w:fill="E6E7E8"/>
          </w:tcPr>
          <w:p w14:paraId="20D5CC43" w14:textId="77777777" w:rsidR="00412DBD" w:rsidRPr="00B145FF" w:rsidRDefault="00412DBD" w:rsidP="00412DBD">
            <w:pPr>
              <w:pStyle w:val="TableText"/>
            </w:pPr>
            <w:r w:rsidRPr="00B145FF">
              <w:t>Guardvant Sub-Saharan Africa (Pty) Ltd</w:t>
            </w:r>
          </w:p>
        </w:tc>
        <w:tc>
          <w:tcPr>
            <w:tcW w:w="1710" w:type="dxa"/>
            <w:vMerge w:val="restart"/>
            <w:tcBorders>
              <w:left w:val="single" w:sz="2" w:space="0" w:color="231F20"/>
              <w:right w:val="single" w:sz="2" w:space="0" w:color="231F20"/>
            </w:tcBorders>
            <w:shd w:val="clear" w:color="auto" w:fill="F9F9F9"/>
            <w:vAlign w:val="center"/>
          </w:tcPr>
          <w:p w14:paraId="4509DBB0" w14:textId="4BA144D8" w:rsidR="00412DBD" w:rsidRPr="00FA6ECA" w:rsidRDefault="00FA6ECA" w:rsidP="00412DBD">
            <w:pPr>
              <w:pStyle w:val="TableText"/>
              <w:jc w:val="center"/>
              <w:rPr>
                <w:szCs w:val="16"/>
              </w:rPr>
            </w:pPr>
            <w:r w:rsidRPr="00FA6ECA">
              <w:rPr>
                <w:rFonts w:cs="Arial"/>
                <w:szCs w:val="16"/>
                <w:lang w:val="pt-BR"/>
              </w:rPr>
              <w:t>África do Sul</w:t>
            </w:r>
          </w:p>
        </w:tc>
        <w:tc>
          <w:tcPr>
            <w:tcW w:w="2790" w:type="dxa"/>
            <w:vMerge w:val="restart"/>
            <w:tcBorders>
              <w:left w:val="single" w:sz="2" w:space="0" w:color="231F20"/>
              <w:bottom w:val="single" w:sz="2" w:space="0" w:color="231F20"/>
              <w:right w:val="single" w:sz="2" w:space="0" w:color="231F20"/>
            </w:tcBorders>
            <w:shd w:val="clear" w:color="auto" w:fill="F9F9F9"/>
            <w:vAlign w:val="center"/>
          </w:tcPr>
          <w:p w14:paraId="263DD55E" w14:textId="77777777" w:rsidR="00412DBD" w:rsidRPr="00B145FF" w:rsidRDefault="00412DBD" w:rsidP="00412DBD">
            <w:pPr>
              <w:pStyle w:val="TableText"/>
              <w:jc w:val="center"/>
            </w:pPr>
            <w:r w:rsidRPr="00B145FF">
              <w:t>Darrenwood</w:t>
            </w:r>
          </w:p>
        </w:tc>
      </w:tr>
      <w:tr w:rsidR="00412DBD" w14:paraId="255EE185" w14:textId="77777777" w:rsidTr="00412DBD">
        <w:trPr>
          <w:trHeight w:val="153"/>
        </w:trPr>
        <w:tc>
          <w:tcPr>
            <w:tcW w:w="4500" w:type="dxa"/>
            <w:tcBorders>
              <w:left w:val="single" w:sz="2" w:space="0" w:color="231F20"/>
              <w:right w:val="single" w:sz="2" w:space="0" w:color="231F20"/>
            </w:tcBorders>
            <w:shd w:val="clear" w:color="auto" w:fill="FFFFFF" w:themeFill="text2"/>
          </w:tcPr>
          <w:p w14:paraId="074099C1" w14:textId="77777777" w:rsidR="00412DBD" w:rsidRPr="00B145FF" w:rsidRDefault="00412DBD" w:rsidP="00412DBD">
            <w:pPr>
              <w:pStyle w:val="TableText"/>
            </w:pPr>
            <w:r w:rsidRPr="00B145FF">
              <w:t>Leica Geosystems (Pty) Ltd.</w:t>
            </w:r>
          </w:p>
        </w:tc>
        <w:tc>
          <w:tcPr>
            <w:tcW w:w="1710" w:type="dxa"/>
            <w:vMerge/>
            <w:tcBorders>
              <w:left w:val="single" w:sz="2" w:space="0" w:color="231F20"/>
              <w:right w:val="single" w:sz="2" w:space="0" w:color="231F20"/>
            </w:tcBorders>
            <w:shd w:val="clear" w:color="auto" w:fill="F9F9F9"/>
            <w:vAlign w:val="center"/>
          </w:tcPr>
          <w:p w14:paraId="5457418D" w14:textId="77777777" w:rsidR="00412DBD" w:rsidRPr="00B145FF" w:rsidRDefault="00412DBD" w:rsidP="00412DBD">
            <w:pPr>
              <w:pStyle w:val="TableText"/>
              <w:jc w:val="center"/>
            </w:pPr>
          </w:p>
        </w:tc>
        <w:tc>
          <w:tcPr>
            <w:tcW w:w="2790" w:type="dxa"/>
            <w:vMerge/>
            <w:tcBorders>
              <w:left w:val="single" w:sz="2" w:space="0" w:color="231F20"/>
              <w:bottom w:val="single" w:sz="2" w:space="0" w:color="231F20"/>
              <w:right w:val="single" w:sz="2" w:space="0" w:color="231F20"/>
            </w:tcBorders>
            <w:shd w:val="clear" w:color="auto" w:fill="F9F9F9"/>
            <w:vAlign w:val="center"/>
          </w:tcPr>
          <w:p w14:paraId="327AA028" w14:textId="77777777" w:rsidR="00412DBD" w:rsidRPr="00B145FF" w:rsidRDefault="00412DBD" w:rsidP="00412DBD">
            <w:pPr>
              <w:pStyle w:val="TableText"/>
              <w:jc w:val="center"/>
            </w:pPr>
          </w:p>
        </w:tc>
      </w:tr>
      <w:tr w:rsidR="00412DBD" w14:paraId="168AB5B7" w14:textId="77777777" w:rsidTr="00412DBD">
        <w:trPr>
          <w:trHeight w:val="139"/>
        </w:trPr>
        <w:tc>
          <w:tcPr>
            <w:tcW w:w="4500" w:type="dxa"/>
            <w:tcBorders>
              <w:left w:val="single" w:sz="2" w:space="0" w:color="231F20"/>
              <w:right w:val="single" w:sz="2" w:space="0" w:color="231F20"/>
            </w:tcBorders>
            <w:shd w:val="clear" w:color="auto" w:fill="E6E7E8"/>
          </w:tcPr>
          <w:p w14:paraId="43FE6DA1" w14:textId="77777777" w:rsidR="00412DBD" w:rsidRPr="00B145FF" w:rsidRDefault="00412DBD" w:rsidP="00412DBD">
            <w:pPr>
              <w:pStyle w:val="TableText"/>
            </w:pPr>
            <w:r w:rsidRPr="00B145FF">
              <w:t>Minesight Applications Pty</w:t>
            </w:r>
          </w:p>
        </w:tc>
        <w:tc>
          <w:tcPr>
            <w:tcW w:w="1710" w:type="dxa"/>
            <w:vMerge/>
            <w:tcBorders>
              <w:left w:val="single" w:sz="2" w:space="0" w:color="231F20"/>
              <w:right w:val="single" w:sz="2" w:space="0" w:color="231F20"/>
            </w:tcBorders>
            <w:shd w:val="clear" w:color="auto" w:fill="F9F9F9"/>
            <w:vAlign w:val="center"/>
          </w:tcPr>
          <w:p w14:paraId="12C089D1" w14:textId="77777777" w:rsidR="00412DBD" w:rsidRPr="00B145FF" w:rsidRDefault="00412DBD" w:rsidP="00412DBD">
            <w:pPr>
              <w:pStyle w:val="TableText"/>
              <w:jc w:val="center"/>
            </w:pPr>
          </w:p>
        </w:tc>
        <w:tc>
          <w:tcPr>
            <w:tcW w:w="2790" w:type="dxa"/>
            <w:vMerge w:val="restart"/>
            <w:tcBorders>
              <w:top w:val="single" w:sz="2" w:space="0" w:color="231F20"/>
              <w:left w:val="single" w:sz="2" w:space="0" w:color="231F20"/>
              <w:right w:val="single" w:sz="2" w:space="0" w:color="231F20"/>
            </w:tcBorders>
            <w:shd w:val="clear" w:color="auto" w:fill="F9F9F9"/>
            <w:vAlign w:val="center"/>
          </w:tcPr>
          <w:p w14:paraId="7F73BF9C" w14:textId="77777777" w:rsidR="00412DBD" w:rsidRPr="00B145FF" w:rsidRDefault="00412DBD" w:rsidP="00412DBD">
            <w:pPr>
              <w:pStyle w:val="TableText"/>
              <w:jc w:val="center"/>
            </w:pPr>
            <w:r w:rsidRPr="00B145FF">
              <w:t>Johannesburg</w:t>
            </w:r>
          </w:p>
        </w:tc>
      </w:tr>
      <w:tr w:rsidR="00412DBD" w14:paraId="6A46F83C" w14:textId="77777777" w:rsidTr="00412DBD">
        <w:trPr>
          <w:trHeight w:val="306"/>
        </w:trPr>
        <w:tc>
          <w:tcPr>
            <w:tcW w:w="4500" w:type="dxa"/>
            <w:tcBorders>
              <w:left w:val="single" w:sz="2" w:space="0" w:color="231F20"/>
              <w:right w:val="single" w:sz="2" w:space="0" w:color="231F20"/>
            </w:tcBorders>
            <w:shd w:val="clear" w:color="auto" w:fill="FFFFFF" w:themeFill="text2"/>
          </w:tcPr>
          <w:p w14:paraId="6269F2A3" w14:textId="77777777" w:rsidR="00412DBD" w:rsidRPr="00B145FF" w:rsidRDefault="00412DBD" w:rsidP="00412DBD">
            <w:pPr>
              <w:pStyle w:val="TableText"/>
            </w:pPr>
            <w:r w:rsidRPr="00B145FF">
              <w:t>Split Engineering Africa (Pty) Ltd</w:t>
            </w:r>
          </w:p>
        </w:tc>
        <w:tc>
          <w:tcPr>
            <w:tcW w:w="1710" w:type="dxa"/>
            <w:vMerge/>
            <w:tcBorders>
              <w:left w:val="single" w:sz="2" w:space="0" w:color="231F20"/>
              <w:right w:val="single" w:sz="2" w:space="0" w:color="231F20"/>
            </w:tcBorders>
            <w:shd w:val="clear" w:color="auto" w:fill="F9F9F9"/>
            <w:vAlign w:val="center"/>
          </w:tcPr>
          <w:p w14:paraId="158E4A28"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EBFAC70" w14:textId="77777777" w:rsidR="00412DBD" w:rsidRPr="00B145FF" w:rsidRDefault="00412DBD" w:rsidP="00412DBD">
            <w:pPr>
              <w:pStyle w:val="TableText"/>
              <w:jc w:val="center"/>
            </w:pPr>
          </w:p>
        </w:tc>
      </w:tr>
      <w:tr w:rsidR="00412DBD" w14:paraId="1460D1BE" w14:textId="77777777" w:rsidTr="00412DBD">
        <w:trPr>
          <w:trHeight w:val="47"/>
        </w:trPr>
        <w:tc>
          <w:tcPr>
            <w:tcW w:w="9000" w:type="dxa"/>
            <w:gridSpan w:val="3"/>
            <w:tcBorders>
              <w:left w:val="single" w:sz="2" w:space="0" w:color="231F20"/>
              <w:right w:val="single" w:sz="2" w:space="0" w:color="231F20"/>
            </w:tcBorders>
            <w:shd w:val="clear" w:color="auto" w:fill="333333" w:themeFill="background1"/>
            <w:vAlign w:val="center"/>
          </w:tcPr>
          <w:p w14:paraId="3FAE14CD" w14:textId="77777777" w:rsidR="00412DBD" w:rsidRPr="00B145FF" w:rsidRDefault="00412DBD" w:rsidP="00412DBD">
            <w:pPr>
              <w:pStyle w:val="TableText"/>
              <w:jc w:val="center"/>
              <w:rPr>
                <w:sz w:val="2"/>
                <w:szCs w:val="2"/>
              </w:rPr>
            </w:pPr>
          </w:p>
        </w:tc>
      </w:tr>
      <w:tr w:rsidR="00412DBD" w14:paraId="174A2482" w14:textId="77777777" w:rsidTr="00412DBD">
        <w:trPr>
          <w:trHeight w:val="243"/>
        </w:trPr>
        <w:tc>
          <w:tcPr>
            <w:tcW w:w="4500" w:type="dxa"/>
            <w:tcBorders>
              <w:left w:val="single" w:sz="2" w:space="0" w:color="231F20"/>
              <w:right w:val="single" w:sz="2" w:space="0" w:color="231F20"/>
            </w:tcBorders>
            <w:shd w:val="clear" w:color="auto" w:fill="E6E7E8"/>
          </w:tcPr>
          <w:p w14:paraId="615B349F" w14:textId="77777777" w:rsidR="00412DBD" w:rsidRPr="00B145FF" w:rsidRDefault="00412DBD" w:rsidP="00412DBD">
            <w:pPr>
              <w:pStyle w:val="TableText"/>
            </w:pPr>
            <w:r w:rsidRPr="00B145FF">
              <w:t>Safemine AG</w:t>
            </w:r>
          </w:p>
        </w:tc>
        <w:tc>
          <w:tcPr>
            <w:tcW w:w="1710" w:type="dxa"/>
            <w:vMerge w:val="restart"/>
            <w:tcBorders>
              <w:left w:val="single" w:sz="2" w:space="0" w:color="231F20"/>
              <w:right w:val="single" w:sz="2" w:space="0" w:color="231F20"/>
            </w:tcBorders>
            <w:shd w:val="clear" w:color="auto" w:fill="F9F9F9"/>
            <w:vAlign w:val="center"/>
          </w:tcPr>
          <w:p w14:paraId="02FEA65C" w14:textId="54644DF7" w:rsidR="00412DBD" w:rsidRPr="00FA6ECA" w:rsidRDefault="00FA6ECA" w:rsidP="00412DBD">
            <w:pPr>
              <w:pStyle w:val="TableText"/>
              <w:jc w:val="center"/>
              <w:rPr>
                <w:szCs w:val="16"/>
              </w:rPr>
            </w:pPr>
            <w:r w:rsidRPr="00FA6ECA">
              <w:rPr>
                <w:rFonts w:cs="Arial"/>
                <w:szCs w:val="16"/>
                <w:lang w:val="pt-BR"/>
              </w:rPr>
              <w:t>Suíça</w:t>
            </w:r>
          </w:p>
        </w:tc>
        <w:tc>
          <w:tcPr>
            <w:tcW w:w="2790" w:type="dxa"/>
            <w:vMerge w:val="restart"/>
            <w:tcBorders>
              <w:left w:val="single" w:sz="2" w:space="0" w:color="231F20"/>
              <w:right w:val="single" w:sz="2" w:space="0" w:color="231F20"/>
            </w:tcBorders>
            <w:shd w:val="clear" w:color="auto" w:fill="F9F9F9"/>
            <w:vAlign w:val="center"/>
          </w:tcPr>
          <w:p w14:paraId="7E40CECA" w14:textId="77777777" w:rsidR="00412DBD" w:rsidRPr="00B145FF" w:rsidRDefault="00412DBD" w:rsidP="00412DBD">
            <w:pPr>
              <w:pStyle w:val="TableText"/>
              <w:jc w:val="center"/>
            </w:pPr>
            <w:r w:rsidRPr="00B145FF">
              <w:t>Zug</w:t>
            </w:r>
          </w:p>
        </w:tc>
      </w:tr>
      <w:tr w:rsidR="00412DBD" w14:paraId="4F42C985" w14:textId="77777777" w:rsidTr="00412DBD">
        <w:trPr>
          <w:trHeight w:val="342"/>
        </w:trPr>
        <w:tc>
          <w:tcPr>
            <w:tcW w:w="4500" w:type="dxa"/>
            <w:tcBorders>
              <w:left w:val="single" w:sz="2" w:space="0" w:color="231F20"/>
              <w:right w:val="single" w:sz="2" w:space="0" w:color="231F20"/>
            </w:tcBorders>
            <w:shd w:val="clear" w:color="auto" w:fill="FFFFFF" w:themeFill="text2"/>
          </w:tcPr>
          <w:p w14:paraId="126742DB" w14:textId="77777777" w:rsidR="00412DBD" w:rsidRPr="00B145FF" w:rsidRDefault="00412DBD" w:rsidP="00412DBD">
            <w:pPr>
              <w:pStyle w:val="TableText"/>
            </w:pPr>
            <w:r w:rsidRPr="00B145FF">
              <w:t>Leica Geosystems AG</w:t>
            </w:r>
          </w:p>
        </w:tc>
        <w:tc>
          <w:tcPr>
            <w:tcW w:w="1710" w:type="dxa"/>
            <w:vMerge/>
            <w:tcBorders>
              <w:left w:val="single" w:sz="2" w:space="0" w:color="231F20"/>
              <w:right w:val="single" w:sz="2" w:space="0" w:color="231F20"/>
            </w:tcBorders>
            <w:shd w:val="clear" w:color="auto" w:fill="F9F9F9"/>
            <w:vAlign w:val="center"/>
          </w:tcPr>
          <w:p w14:paraId="1E7C84CE"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29FFA3FC" w14:textId="77777777" w:rsidR="00412DBD" w:rsidRPr="00B145FF" w:rsidRDefault="00412DBD" w:rsidP="00412DBD">
            <w:pPr>
              <w:pStyle w:val="TableText"/>
              <w:jc w:val="center"/>
            </w:pPr>
          </w:p>
        </w:tc>
      </w:tr>
      <w:tr w:rsidR="00412DBD" w14:paraId="57156B7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039DE63" w14:textId="77777777" w:rsidR="00412DBD" w:rsidRPr="00B145FF" w:rsidRDefault="00412DBD" w:rsidP="00412DBD">
            <w:pPr>
              <w:pStyle w:val="TableText"/>
              <w:jc w:val="center"/>
              <w:rPr>
                <w:sz w:val="2"/>
                <w:szCs w:val="2"/>
              </w:rPr>
            </w:pPr>
          </w:p>
        </w:tc>
      </w:tr>
      <w:tr w:rsidR="00412DBD" w14:paraId="3A9E1F56" w14:textId="77777777" w:rsidTr="00412DBD">
        <w:trPr>
          <w:trHeight w:val="324"/>
        </w:trPr>
        <w:tc>
          <w:tcPr>
            <w:tcW w:w="4500" w:type="dxa"/>
            <w:tcBorders>
              <w:left w:val="single" w:sz="2" w:space="0" w:color="231F20"/>
              <w:right w:val="single" w:sz="2" w:space="0" w:color="231F20"/>
            </w:tcBorders>
            <w:shd w:val="clear" w:color="auto" w:fill="F9F9F9"/>
          </w:tcPr>
          <w:p w14:paraId="6BC84C21" w14:textId="77777777" w:rsidR="00412DBD" w:rsidRPr="00B145FF" w:rsidRDefault="00412DBD" w:rsidP="00412DBD">
            <w:pPr>
              <w:pStyle w:val="TableText"/>
            </w:pPr>
            <w:r w:rsidRPr="00B145FF">
              <w:t>Leica Geosystems DMCC</w:t>
            </w:r>
          </w:p>
        </w:tc>
        <w:tc>
          <w:tcPr>
            <w:tcW w:w="1710" w:type="dxa"/>
            <w:tcBorders>
              <w:left w:val="single" w:sz="2" w:space="0" w:color="231F20"/>
              <w:right w:val="single" w:sz="2" w:space="0" w:color="231F20"/>
            </w:tcBorders>
            <w:shd w:val="clear" w:color="auto" w:fill="F9F9F9"/>
            <w:vAlign w:val="center"/>
          </w:tcPr>
          <w:p w14:paraId="7E1D8C04" w14:textId="2A57912B" w:rsidR="00412DBD" w:rsidRPr="00FA6ECA" w:rsidRDefault="00FA6ECA" w:rsidP="00412DBD">
            <w:pPr>
              <w:pStyle w:val="TableText"/>
              <w:jc w:val="center"/>
              <w:rPr>
                <w:szCs w:val="16"/>
              </w:rPr>
            </w:pPr>
            <w:r w:rsidRPr="00FA6ECA">
              <w:rPr>
                <w:rFonts w:cs="Arial"/>
                <w:szCs w:val="16"/>
                <w:lang w:val="pt-BR"/>
              </w:rPr>
              <w:t>Emirados Árabes Unidos</w:t>
            </w:r>
          </w:p>
        </w:tc>
        <w:tc>
          <w:tcPr>
            <w:tcW w:w="2790" w:type="dxa"/>
            <w:tcBorders>
              <w:left w:val="single" w:sz="2" w:space="0" w:color="231F20"/>
              <w:right w:val="single" w:sz="2" w:space="0" w:color="231F20"/>
            </w:tcBorders>
            <w:shd w:val="clear" w:color="auto" w:fill="F9F9F9"/>
            <w:vAlign w:val="center"/>
          </w:tcPr>
          <w:p w14:paraId="4E91635F" w14:textId="77777777" w:rsidR="00412DBD" w:rsidRPr="00B145FF" w:rsidRDefault="00412DBD" w:rsidP="00412DBD">
            <w:pPr>
              <w:pStyle w:val="TableText"/>
              <w:jc w:val="center"/>
            </w:pPr>
            <w:r w:rsidRPr="00B145FF">
              <w:t>Dubai</w:t>
            </w:r>
          </w:p>
        </w:tc>
      </w:tr>
      <w:tr w:rsidR="00412DBD" w14:paraId="25F1C04D"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F24E854" w14:textId="77777777" w:rsidR="00412DBD" w:rsidRPr="00B145FF" w:rsidRDefault="00412DBD" w:rsidP="00412DBD">
            <w:pPr>
              <w:pStyle w:val="TableText"/>
              <w:jc w:val="center"/>
              <w:rPr>
                <w:sz w:val="2"/>
                <w:szCs w:val="2"/>
              </w:rPr>
            </w:pPr>
          </w:p>
        </w:tc>
      </w:tr>
      <w:tr w:rsidR="00412DBD" w14:paraId="5B519B1A" w14:textId="77777777" w:rsidTr="00412DBD">
        <w:trPr>
          <w:trHeight w:val="414"/>
        </w:trPr>
        <w:tc>
          <w:tcPr>
            <w:tcW w:w="4500" w:type="dxa"/>
            <w:tcBorders>
              <w:left w:val="single" w:sz="2" w:space="0" w:color="231F20"/>
              <w:right w:val="single" w:sz="2" w:space="0" w:color="231F20"/>
            </w:tcBorders>
            <w:shd w:val="clear" w:color="auto" w:fill="F9F9F9"/>
          </w:tcPr>
          <w:p w14:paraId="466AFF06" w14:textId="77777777" w:rsidR="00412DBD" w:rsidRPr="00B145FF" w:rsidRDefault="00412DBD" w:rsidP="00412DBD">
            <w:pPr>
              <w:pStyle w:val="TableText"/>
            </w:pPr>
            <w:r w:rsidRPr="00B145FF">
              <w:t>Minesight Applications London Limited</w:t>
            </w:r>
          </w:p>
        </w:tc>
        <w:tc>
          <w:tcPr>
            <w:tcW w:w="1710" w:type="dxa"/>
            <w:tcBorders>
              <w:left w:val="single" w:sz="2" w:space="0" w:color="231F20"/>
              <w:right w:val="single" w:sz="2" w:space="0" w:color="231F20"/>
            </w:tcBorders>
            <w:shd w:val="clear" w:color="auto" w:fill="F9F9F9"/>
            <w:vAlign w:val="center"/>
          </w:tcPr>
          <w:p w14:paraId="11C653BD" w14:textId="5F21B35C" w:rsidR="00412DBD" w:rsidRPr="00FA6ECA" w:rsidRDefault="00FA6ECA" w:rsidP="00412DBD">
            <w:pPr>
              <w:pStyle w:val="TableText"/>
              <w:jc w:val="center"/>
              <w:rPr>
                <w:szCs w:val="16"/>
              </w:rPr>
            </w:pPr>
            <w:r w:rsidRPr="00FA6ECA">
              <w:rPr>
                <w:rFonts w:cs="Arial"/>
                <w:szCs w:val="16"/>
                <w:lang w:val="pt-BR"/>
              </w:rPr>
              <w:t>Reino Unido</w:t>
            </w:r>
          </w:p>
        </w:tc>
        <w:tc>
          <w:tcPr>
            <w:tcW w:w="2790" w:type="dxa"/>
            <w:tcBorders>
              <w:left w:val="single" w:sz="2" w:space="0" w:color="231F20"/>
              <w:right w:val="single" w:sz="2" w:space="0" w:color="231F20"/>
            </w:tcBorders>
            <w:shd w:val="clear" w:color="auto" w:fill="F9F9F9"/>
            <w:vAlign w:val="center"/>
          </w:tcPr>
          <w:p w14:paraId="008722E0" w14:textId="611E7E5C" w:rsidR="00412DBD" w:rsidRPr="00FA6ECA" w:rsidRDefault="00FA6ECA" w:rsidP="00412DBD">
            <w:pPr>
              <w:pStyle w:val="TableText"/>
              <w:jc w:val="center"/>
              <w:rPr>
                <w:szCs w:val="16"/>
              </w:rPr>
            </w:pPr>
            <w:r w:rsidRPr="00FA6ECA">
              <w:rPr>
                <w:rFonts w:cs="Arial"/>
                <w:szCs w:val="16"/>
                <w:lang w:val="pt-BR"/>
              </w:rPr>
              <w:t>Inglaterra e País de Gales</w:t>
            </w:r>
          </w:p>
        </w:tc>
      </w:tr>
      <w:tr w:rsidR="00412DBD" w14:paraId="081694F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4B82955" w14:textId="77777777" w:rsidR="00412DBD" w:rsidRPr="00B145FF" w:rsidRDefault="00412DBD" w:rsidP="00412DBD">
            <w:pPr>
              <w:pStyle w:val="TableText"/>
              <w:jc w:val="center"/>
              <w:rPr>
                <w:color w:val="231F20"/>
                <w:sz w:val="2"/>
                <w:szCs w:val="2"/>
              </w:rPr>
            </w:pPr>
          </w:p>
        </w:tc>
      </w:tr>
      <w:tr w:rsidR="00412DBD" w14:paraId="1331DB45" w14:textId="77777777" w:rsidTr="00412DBD">
        <w:trPr>
          <w:trHeight w:val="198"/>
        </w:trPr>
        <w:tc>
          <w:tcPr>
            <w:tcW w:w="4500" w:type="dxa"/>
            <w:tcBorders>
              <w:left w:val="single" w:sz="2" w:space="0" w:color="231F20"/>
              <w:right w:val="single" w:sz="2" w:space="0" w:color="231F20"/>
            </w:tcBorders>
            <w:shd w:val="clear" w:color="auto" w:fill="E6E7E8"/>
          </w:tcPr>
          <w:p w14:paraId="655DC7EE" w14:textId="77777777" w:rsidR="00412DBD" w:rsidRDefault="00412DBD" w:rsidP="00412DBD">
            <w:pPr>
              <w:pStyle w:val="TableText"/>
              <w:rPr>
                <w:color w:val="231F20"/>
                <w:sz w:val="14"/>
              </w:rPr>
            </w:pPr>
            <w:r w:rsidRPr="008D5FBC">
              <w:t>Blast Movement Technologies USA Inc.</w:t>
            </w:r>
          </w:p>
        </w:tc>
        <w:tc>
          <w:tcPr>
            <w:tcW w:w="1710" w:type="dxa"/>
            <w:vMerge w:val="restart"/>
            <w:tcBorders>
              <w:left w:val="single" w:sz="2" w:space="0" w:color="231F20"/>
              <w:right w:val="single" w:sz="2" w:space="0" w:color="231F20"/>
            </w:tcBorders>
            <w:shd w:val="clear" w:color="auto" w:fill="F9F9F9"/>
            <w:vAlign w:val="center"/>
          </w:tcPr>
          <w:p w14:paraId="59CBED7F" w14:textId="1C0C603F" w:rsidR="00412DBD" w:rsidRPr="00FA6ECA" w:rsidRDefault="00FA6ECA" w:rsidP="00412DBD">
            <w:pPr>
              <w:pStyle w:val="TableText"/>
              <w:jc w:val="center"/>
              <w:rPr>
                <w:color w:val="231F20"/>
                <w:szCs w:val="16"/>
              </w:rPr>
            </w:pPr>
            <w:r w:rsidRPr="00FA6ECA">
              <w:rPr>
                <w:rFonts w:cs="Arial"/>
                <w:szCs w:val="16"/>
                <w:lang w:val="pt-BR"/>
              </w:rPr>
              <w:t>Estados Unidos da América</w:t>
            </w:r>
          </w:p>
        </w:tc>
        <w:tc>
          <w:tcPr>
            <w:tcW w:w="2790" w:type="dxa"/>
            <w:tcBorders>
              <w:left w:val="single" w:sz="2" w:space="0" w:color="231F20"/>
              <w:right w:val="single" w:sz="2" w:space="0" w:color="231F20"/>
            </w:tcBorders>
            <w:shd w:val="clear" w:color="auto" w:fill="E6E7E8"/>
          </w:tcPr>
          <w:p w14:paraId="7F62FA86" w14:textId="77777777" w:rsidR="00412DBD" w:rsidRDefault="00412DBD" w:rsidP="00412DBD">
            <w:pPr>
              <w:pStyle w:val="TableText"/>
              <w:jc w:val="center"/>
              <w:rPr>
                <w:color w:val="231F20"/>
                <w:sz w:val="14"/>
              </w:rPr>
            </w:pPr>
            <w:r>
              <w:t>Arvada, CO</w:t>
            </w:r>
          </w:p>
        </w:tc>
      </w:tr>
      <w:tr w:rsidR="00412DBD" w14:paraId="59DA14C0" w14:textId="77777777" w:rsidTr="00412DBD">
        <w:trPr>
          <w:trHeight w:val="180"/>
        </w:trPr>
        <w:tc>
          <w:tcPr>
            <w:tcW w:w="4500" w:type="dxa"/>
            <w:tcBorders>
              <w:left w:val="single" w:sz="2" w:space="0" w:color="231F20"/>
              <w:right w:val="single" w:sz="2" w:space="0" w:color="231F20"/>
            </w:tcBorders>
            <w:shd w:val="clear" w:color="auto" w:fill="FFFFFF" w:themeFill="text2"/>
          </w:tcPr>
          <w:p w14:paraId="7AB5B1D1" w14:textId="77777777" w:rsidR="00412DBD" w:rsidRDefault="00412DBD" w:rsidP="00412DBD">
            <w:pPr>
              <w:pStyle w:val="TableText"/>
              <w:rPr>
                <w:color w:val="231F20"/>
                <w:sz w:val="14"/>
              </w:rPr>
            </w:pPr>
            <w:r>
              <w:t>Guardvant, Inc.</w:t>
            </w:r>
          </w:p>
        </w:tc>
        <w:tc>
          <w:tcPr>
            <w:tcW w:w="1710" w:type="dxa"/>
            <w:vMerge/>
            <w:tcBorders>
              <w:left w:val="single" w:sz="2" w:space="0" w:color="231F20"/>
              <w:right w:val="single" w:sz="2" w:space="0" w:color="231F20"/>
            </w:tcBorders>
            <w:shd w:val="clear" w:color="auto" w:fill="F9F9F9"/>
          </w:tcPr>
          <w:p w14:paraId="27739145" w14:textId="77777777" w:rsidR="00412DBD" w:rsidRDefault="00412DBD" w:rsidP="00412DBD">
            <w:pPr>
              <w:pStyle w:val="TableText"/>
              <w:rPr>
                <w:color w:val="231F20"/>
                <w:sz w:val="14"/>
              </w:rPr>
            </w:pPr>
          </w:p>
        </w:tc>
        <w:tc>
          <w:tcPr>
            <w:tcW w:w="2790" w:type="dxa"/>
            <w:vMerge w:val="restart"/>
            <w:tcBorders>
              <w:left w:val="single" w:sz="2" w:space="0" w:color="231F20"/>
              <w:right w:val="single" w:sz="2" w:space="0" w:color="231F20"/>
            </w:tcBorders>
            <w:shd w:val="clear" w:color="auto" w:fill="FFFFFF" w:themeFill="text2"/>
            <w:vAlign w:val="center"/>
          </w:tcPr>
          <w:p w14:paraId="1798BEBD" w14:textId="77777777" w:rsidR="00412DBD" w:rsidRDefault="00412DBD" w:rsidP="00412DBD">
            <w:pPr>
              <w:pStyle w:val="TableText"/>
              <w:jc w:val="center"/>
              <w:rPr>
                <w:color w:val="231F20"/>
                <w:sz w:val="14"/>
              </w:rPr>
            </w:pPr>
            <w:r>
              <w:t xml:space="preserve">Tucson, </w:t>
            </w:r>
            <w:r w:rsidRPr="007758B9">
              <w:t>A</w:t>
            </w:r>
            <w:r>
              <w:t>Z</w:t>
            </w:r>
          </w:p>
        </w:tc>
      </w:tr>
      <w:tr w:rsidR="00412DBD" w14:paraId="0E5B0BB6" w14:textId="77777777" w:rsidTr="00412DBD">
        <w:trPr>
          <w:trHeight w:val="198"/>
        </w:trPr>
        <w:tc>
          <w:tcPr>
            <w:tcW w:w="4500" w:type="dxa"/>
            <w:tcBorders>
              <w:left w:val="single" w:sz="2" w:space="0" w:color="231F20"/>
              <w:bottom w:val="single" w:sz="2" w:space="0" w:color="231F20"/>
              <w:right w:val="single" w:sz="2" w:space="0" w:color="231F20"/>
            </w:tcBorders>
            <w:shd w:val="clear" w:color="auto" w:fill="F9F9F9"/>
          </w:tcPr>
          <w:p w14:paraId="1E5AFD84" w14:textId="77777777" w:rsidR="00412DBD" w:rsidRDefault="00412DBD" w:rsidP="00412DBD">
            <w:pPr>
              <w:pStyle w:val="TableText"/>
              <w:rPr>
                <w:color w:val="231F20"/>
                <w:sz w:val="14"/>
              </w:rPr>
            </w:pPr>
            <w:r w:rsidRPr="007758B9">
              <w:t>Hexagon Mining Inc.</w:t>
            </w:r>
          </w:p>
        </w:tc>
        <w:tc>
          <w:tcPr>
            <w:tcW w:w="1710" w:type="dxa"/>
            <w:vMerge/>
            <w:tcBorders>
              <w:left w:val="single" w:sz="2" w:space="0" w:color="231F20"/>
              <w:bottom w:val="single" w:sz="2" w:space="0" w:color="231F20"/>
              <w:right w:val="single" w:sz="2" w:space="0" w:color="231F20"/>
            </w:tcBorders>
            <w:shd w:val="clear" w:color="auto" w:fill="F9F9F9"/>
          </w:tcPr>
          <w:p w14:paraId="23BC7CC8" w14:textId="77777777" w:rsidR="00412DBD" w:rsidRDefault="00412DBD" w:rsidP="00412DBD">
            <w:pPr>
              <w:pStyle w:val="TableText"/>
              <w:rPr>
                <w:color w:val="231F20"/>
                <w:sz w:val="14"/>
              </w:rPr>
            </w:pPr>
          </w:p>
        </w:tc>
        <w:tc>
          <w:tcPr>
            <w:tcW w:w="2790" w:type="dxa"/>
            <w:vMerge/>
            <w:tcBorders>
              <w:left w:val="single" w:sz="2" w:space="0" w:color="231F20"/>
              <w:bottom w:val="single" w:sz="2" w:space="0" w:color="231F20"/>
              <w:right w:val="single" w:sz="2" w:space="0" w:color="231F20"/>
            </w:tcBorders>
            <w:shd w:val="clear" w:color="auto" w:fill="E6E7E8"/>
          </w:tcPr>
          <w:p w14:paraId="110BD79B" w14:textId="77777777" w:rsidR="00412DBD" w:rsidRDefault="00412DBD" w:rsidP="00412DBD">
            <w:pPr>
              <w:pStyle w:val="TableText"/>
              <w:rPr>
                <w:color w:val="231F20"/>
                <w:sz w:val="14"/>
              </w:rPr>
            </w:pPr>
          </w:p>
        </w:tc>
      </w:tr>
    </w:tbl>
    <w:p w14:paraId="5BF8B2D7" w14:textId="3E0BD9D9" w:rsidR="00ED2EDA" w:rsidRDefault="00ED2EDA" w:rsidP="00ED2EDA">
      <w:pPr>
        <w:jc w:val="both"/>
        <w:rPr>
          <w:rFonts w:cs="Arial"/>
          <w:szCs w:val="20"/>
        </w:rPr>
      </w:pPr>
    </w:p>
    <w:p w14:paraId="3A6C39AF" w14:textId="77777777" w:rsidR="00A67C91" w:rsidRPr="00A67C91" w:rsidRDefault="00A67C91" w:rsidP="00A67C91">
      <w:pPr>
        <w:jc w:val="both"/>
        <w:rPr>
          <w:rFonts w:cs="Arial"/>
          <w:color w:val="auto"/>
          <w:szCs w:val="20"/>
          <w:lang w:val="pt-BR"/>
        </w:rPr>
      </w:pPr>
      <w:r w:rsidRPr="00A67C91">
        <w:rPr>
          <w:rFonts w:cs="Arial"/>
          <w:b/>
          <w:color w:val="auto"/>
          <w:szCs w:val="20"/>
          <w:lang w:val="pt-BR"/>
        </w:rPr>
        <w:t>12.</w:t>
      </w:r>
      <w:r w:rsidRPr="00A67C91">
        <w:rPr>
          <w:rFonts w:cs="Arial"/>
          <w:color w:val="auto"/>
          <w:szCs w:val="20"/>
          <w:lang w:val="pt-BR"/>
        </w:rPr>
        <w:t xml:space="preserve"> </w:t>
      </w:r>
      <w:r w:rsidRPr="00A67C91">
        <w:rPr>
          <w:rFonts w:cs="Arial"/>
          <w:b/>
          <w:color w:val="auto"/>
          <w:szCs w:val="20"/>
          <w:u w:val="single"/>
          <w:lang w:val="pt-BR"/>
        </w:rPr>
        <w:t>Resolução de Conflitos</w:t>
      </w:r>
      <w:r w:rsidRPr="00A67C91">
        <w:rPr>
          <w:rFonts w:cs="Arial"/>
          <w:color w:val="auto"/>
          <w:szCs w:val="20"/>
          <w:lang w:val="pt-BR"/>
        </w:rPr>
        <w:t xml:space="preserve">. Se qualquer conflito entre as partes resultar deste Contrato, as partes concordam com o seguinte: </w:t>
      </w:r>
    </w:p>
    <w:p w14:paraId="64EDBEBF" w14:textId="77777777" w:rsidR="00A67C91" w:rsidRPr="00A67C91" w:rsidRDefault="00A67C91" w:rsidP="00A67C91">
      <w:pPr>
        <w:pStyle w:val="ListParagraph"/>
        <w:ind w:left="180"/>
        <w:jc w:val="both"/>
        <w:rPr>
          <w:rFonts w:ascii="Arial" w:hAnsi="Arial" w:cs="Arial"/>
          <w:sz w:val="20"/>
          <w:szCs w:val="20"/>
          <w:lang w:val="pt-BR"/>
        </w:rPr>
      </w:pPr>
    </w:p>
    <w:p w14:paraId="0FBB8CDE" w14:textId="77777777" w:rsidR="00A67C91" w:rsidRPr="00A67C91" w:rsidRDefault="00A67C91" w:rsidP="00A67C91">
      <w:pPr>
        <w:pStyle w:val="ListParagraph"/>
        <w:ind w:left="567" w:hanging="387"/>
        <w:jc w:val="both"/>
        <w:rPr>
          <w:rFonts w:ascii="Arial" w:hAnsi="Arial" w:cs="Arial"/>
          <w:sz w:val="20"/>
          <w:szCs w:val="20"/>
          <w:lang w:val="pt-BR"/>
        </w:rPr>
      </w:pPr>
      <w:r w:rsidRPr="00A67C91">
        <w:rPr>
          <w:rFonts w:ascii="Arial" w:hAnsi="Arial" w:cs="Arial"/>
          <w:sz w:val="20"/>
          <w:szCs w:val="20"/>
          <w:lang w:val="pt-BR"/>
        </w:rPr>
        <w:t xml:space="preserve">12.1. Exceto para processos que pleiteiem uma medida cautelar ou liminar, antes de iniciar um processo legal no tribunal ou procedimentos de arbitragem nos termos deste instrumento, as </w:t>
      </w:r>
      <w:r w:rsidRPr="00A67C91">
        <w:rPr>
          <w:rFonts w:ascii="Arial" w:hAnsi="Arial" w:cs="Arial"/>
          <w:sz w:val="20"/>
          <w:szCs w:val="20"/>
          <w:lang w:val="pt-BR"/>
        </w:rPr>
        <w:lastRenderedPageBreak/>
        <w:t>partes, primeiramente, se comprometem a resolver o conflito de boa-fé por meio de negociação amigável e mútua. A parte prejudicada concorda em contatar a outra parte por escrito e conceder um prazo razoável, não inferior a trinta (30) dias, para que ambas negociem a resolução. As partes concordam em nomear gerentes ou diretores seniores, conforme o caso, para facilitar a resolução.</w:t>
      </w:r>
    </w:p>
    <w:p w14:paraId="2917CE35" w14:textId="77777777" w:rsidR="00A67C91" w:rsidRPr="00A67C91" w:rsidRDefault="00A67C91" w:rsidP="00A67C91">
      <w:pPr>
        <w:pStyle w:val="ListParagraph"/>
        <w:ind w:left="567" w:hanging="387"/>
        <w:jc w:val="both"/>
        <w:rPr>
          <w:rFonts w:ascii="Arial" w:hAnsi="Arial" w:cs="Arial"/>
          <w:sz w:val="20"/>
          <w:szCs w:val="20"/>
          <w:lang w:val="pt-BR"/>
        </w:rPr>
      </w:pPr>
    </w:p>
    <w:p w14:paraId="114E8B84" w14:textId="77777777" w:rsidR="00A67C91" w:rsidRPr="00A67C91" w:rsidRDefault="00A67C91" w:rsidP="00A67C91">
      <w:pPr>
        <w:pStyle w:val="ListParagraph"/>
        <w:ind w:left="567" w:hanging="387"/>
        <w:jc w:val="both"/>
        <w:rPr>
          <w:rFonts w:ascii="Arial" w:hAnsi="Arial" w:cs="Arial"/>
          <w:sz w:val="20"/>
          <w:szCs w:val="20"/>
          <w:lang w:val="pt-BR"/>
        </w:rPr>
      </w:pPr>
      <w:r w:rsidRPr="00A67C91">
        <w:rPr>
          <w:rFonts w:ascii="Arial" w:hAnsi="Arial" w:cs="Arial"/>
          <w:sz w:val="20"/>
          <w:szCs w:val="20"/>
          <w:lang w:val="pt-BR"/>
        </w:rPr>
        <w:t>12.2. Caso as partes não consigam resolver o conflito por meio de negociação amigável ou se uma das partes estiver buscando uma medida cautelar ou liminar, qualquer uma das partes poderá iniciar o processo um processo de resolução de conflitos da seguinte forma:</w:t>
      </w:r>
    </w:p>
    <w:p w14:paraId="0D4B0CA4" w14:textId="77777777" w:rsidR="00A67C91" w:rsidRPr="00A67C91" w:rsidRDefault="00A67C91" w:rsidP="00A67C91">
      <w:pPr>
        <w:ind w:left="567" w:hanging="387"/>
        <w:jc w:val="both"/>
        <w:rPr>
          <w:rFonts w:cs="Arial"/>
          <w:color w:val="auto"/>
          <w:szCs w:val="20"/>
          <w:lang w:val="pt-BR"/>
        </w:rPr>
      </w:pPr>
    </w:p>
    <w:p w14:paraId="1330A036" w14:textId="77777777" w:rsidR="00A67C91" w:rsidRPr="00A67C91" w:rsidRDefault="00A67C91" w:rsidP="00A67C91">
      <w:pPr>
        <w:ind w:left="1134" w:hanging="425"/>
        <w:jc w:val="both"/>
        <w:rPr>
          <w:rFonts w:cs="Arial"/>
          <w:color w:val="auto"/>
          <w:szCs w:val="20"/>
          <w:lang w:val="pt-BR"/>
        </w:rPr>
      </w:pPr>
      <w:r w:rsidRPr="00A67C91">
        <w:rPr>
          <w:rFonts w:cs="Arial"/>
          <w:color w:val="auto"/>
          <w:szCs w:val="20"/>
          <w:lang w:val="pt-BR"/>
        </w:rPr>
        <w:t xml:space="preserve">(A) </w:t>
      </w:r>
      <w:r w:rsidRPr="00A67C91">
        <w:rPr>
          <w:rFonts w:cs="Arial"/>
          <w:color w:val="auto"/>
          <w:szCs w:val="20"/>
          <w:lang w:val="pt-BR"/>
        </w:rPr>
        <w:tab/>
        <w:t xml:space="preserve">Para qualquer Cliente localizado nos Estados Unidos, as partes concordam com a jurisdição e foro exclusivos dos tribunais estaduais e federais localizados em Tucson, Arizona. A parte vencedora terá o direito de cobrar da outra parte os honorários advocatícios e as custas processuais. </w:t>
      </w:r>
    </w:p>
    <w:p w14:paraId="4B7EE6AC" w14:textId="77777777" w:rsidR="00A67C91" w:rsidRPr="00A67C91" w:rsidRDefault="00A67C91" w:rsidP="00A67C91">
      <w:pPr>
        <w:ind w:left="1134" w:hanging="425"/>
        <w:jc w:val="both"/>
        <w:rPr>
          <w:rFonts w:cs="Arial"/>
          <w:color w:val="auto"/>
          <w:szCs w:val="20"/>
          <w:lang w:val="pt-BR"/>
        </w:rPr>
      </w:pPr>
    </w:p>
    <w:p w14:paraId="5E643105" w14:textId="77777777" w:rsidR="00A67C91" w:rsidRPr="00A67C91" w:rsidRDefault="00A67C91" w:rsidP="00A67C91">
      <w:pPr>
        <w:ind w:left="1134" w:hanging="425"/>
        <w:jc w:val="both"/>
        <w:rPr>
          <w:rFonts w:cs="Arial"/>
          <w:color w:val="auto"/>
          <w:szCs w:val="20"/>
          <w:lang w:val="pt-BR"/>
        </w:rPr>
      </w:pPr>
      <w:r w:rsidRPr="00A67C91">
        <w:rPr>
          <w:rFonts w:cs="Arial"/>
          <w:color w:val="auto"/>
          <w:szCs w:val="20"/>
          <w:lang w:val="pt-BR"/>
        </w:rPr>
        <w:t xml:space="preserve">(B) </w:t>
      </w:r>
      <w:r w:rsidRPr="00A67C91">
        <w:rPr>
          <w:rFonts w:cs="Arial"/>
          <w:color w:val="auto"/>
          <w:szCs w:val="20"/>
          <w:lang w:val="pt-BR"/>
        </w:rPr>
        <w:tab/>
        <w:t xml:space="preserve">Para qualquer Cliente localizado fora dos Estados Unidos, as partes concordam em iniciar os procedimentos de arbitragem na jurisdição estabelecida na tabela acima (Cláusula 11). Cada parte arcará com seus próprios custos em tais procedimentos de arbitragem, com exceção dos honorários e despesas dos árbitros, que serão divididos igualmente entre as partes. Todos os aspectos da arbitragem serão tratados como confidenciais. Antes de qualquer divulgação, a parte que desejar divulgá-los deverá obter autorização por escrito da outra parte e dará a essa outra parte a oportunidade de proteger seus interesses. O julgamento do processo arbitral pode ser realizado por qualquer tribunal que tenha jurisdição competente de acordo com a tabela indicada na cláusula 11 acima. </w:t>
      </w:r>
    </w:p>
    <w:p w14:paraId="44B9732B" w14:textId="77777777" w:rsidR="00A67C91" w:rsidRPr="00A67C91" w:rsidRDefault="00A67C91" w:rsidP="00A67C91">
      <w:pPr>
        <w:ind w:left="360"/>
        <w:jc w:val="both"/>
        <w:rPr>
          <w:rFonts w:cs="Arial"/>
          <w:color w:val="auto"/>
          <w:szCs w:val="20"/>
          <w:lang w:val="pt-BR"/>
        </w:rPr>
      </w:pPr>
    </w:p>
    <w:p w14:paraId="1984171C" w14:textId="77777777" w:rsidR="00A67C91" w:rsidRPr="00A67C91" w:rsidRDefault="00A67C91" w:rsidP="00A67C91">
      <w:pPr>
        <w:jc w:val="both"/>
        <w:rPr>
          <w:rFonts w:cs="Arial"/>
          <w:color w:val="auto"/>
          <w:szCs w:val="20"/>
          <w:lang w:val="pt-BR"/>
        </w:rPr>
      </w:pPr>
      <w:r w:rsidRPr="00A67C91">
        <w:rPr>
          <w:rFonts w:cs="Arial"/>
          <w:b/>
          <w:color w:val="auto"/>
          <w:szCs w:val="20"/>
          <w:lang w:val="pt-BR"/>
        </w:rPr>
        <w:t>13.</w:t>
      </w:r>
      <w:r w:rsidRPr="00A67C91">
        <w:rPr>
          <w:rFonts w:cs="Arial"/>
          <w:color w:val="auto"/>
          <w:szCs w:val="20"/>
          <w:lang w:val="pt-BR"/>
        </w:rPr>
        <w:t xml:space="preserve"> </w:t>
      </w:r>
      <w:r w:rsidRPr="00A67C91">
        <w:rPr>
          <w:rFonts w:cs="Arial"/>
          <w:b/>
          <w:color w:val="auto"/>
          <w:szCs w:val="20"/>
          <w:u w:val="single"/>
          <w:lang w:val="pt-BR"/>
        </w:rPr>
        <w:t>Caso Fortuito ou Força Maior</w:t>
      </w:r>
      <w:r w:rsidRPr="00A67C91">
        <w:rPr>
          <w:rFonts w:cs="Arial"/>
          <w:color w:val="auto"/>
          <w:szCs w:val="20"/>
          <w:lang w:val="pt-BR"/>
        </w:rPr>
        <w:t>. Exceto pelas obrigações de pagamento, nenhuma das partes será responsável por qualquer atraso ou descumprimento de suas obrigações nos termos deste Contrato se tal atraso ou descumprimento for devido a circunstâncias que vão além do controle razoável da parte afetada, e que resulte na incapacidade dessa parte em cumprir tempestivamente suas obrigações aqui estabelecidas. Tais circunstâncias incluem, mas não se limitam a fenômenos da natureza como raios, terremotos, inundações, tempestades, incêndios, desastres naturais, bem como a greves ilegais, pandemias, atos de guerra, terrorismo, motins, comoção civil, sanções comerciais ou outras restrições governamentais ao comércio, falhsa na Internet, atrasos de serviços postais ou de transporte e alterações na legislação em vigor (“</w:t>
      </w:r>
      <w:r w:rsidRPr="00A67C91">
        <w:rPr>
          <w:rFonts w:cs="Arial"/>
          <w:b/>
          <w:color w:val="auto"/>
          <w:szCs w:val="20"/>
          <w:lang w:val="pt-BR"/>
        </w:rPr>
        <w:t>Força Maior</w:t>
      </w:r>
      <w:r w:rsidRPr="00A67C91">
        <w:rPr>
          <w:rFonts w:cs="Arial"/>
          <w:color w:val="auto"/>
          <w:szCs w:val="20"/>
          <w:lang w:val="pt-BR"/>
        </w:rPr>
        <w:t>”).</w:t>
      </w:r>
    </w:p>
    <w:p w14:paraId="7B774284" w14:textId="77777777" w:rsidR="00A67C91" w:rsidRPr="00A67C91" w:rsidRDefault="00A67C91" w:rsidP="00A67C91">
      <w:pPr>
        <w:ind w:left="180"/>
        <w:jc w:val="both"/>
        <w:rPr>
          <w:rFonts w:cs="Arial"/>
          <w:color w:val="auto"/>
          <w:szCs w:val="20"/>
          <w:lang w:val="pt-BR"/>
        </w:rPr>
      </w:pPr>
    </w:p>
    <w:p w14:paraId="293FCEBF"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13.1. Se um atraso ou descumprimento das obrigações contratuais for causado por evento de Força Maior, o cumprimento destas por parte da parte afetada será suspenso, e a parte afetada terá direito a uma prorrogação razoável de prazo para cumpri-las. </w:t>
      </w:r>
    </w:p>
    <w:p w14:paraId="0FEB348E" w14:textId="77777777" w:rsidR="00A67C91" w:rsidRPr="00A67C91" w:rsidRDefault="00A67C91" w:rsidP="00A67C91">
      <w:pPr>
        <w:ind w:left="567" w:hanging="387"/>
        <w:jc w:val="both"/>
        <w:rPr>
          <w:rFonts w:cs="Arial"/>
          <w:color w:val="auto"/>
          <w:szCs w:val="20"/>
          <w:lang w:val="pt-BR"/>
        </w:rPr>
      </w:pPr>
    </w:p>
    <w:p w14:paraId="4D4BE3C8"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13.2. Se um atraso ou falha de execução exceder sessenta (60) dias devido a um evento de Força Maior, qualquer das partes poderá resolver o Contrato mediante notificação por escrito à outra parte. </w:t>
      </w:r>
    </w:p>
    <w:p w14:paraId="736E5256" w14:textId="77777777" w:rsidR="00A67C91" w:rsidRPr="00A67C91" w:rsidRDefault="00A67C91" w:rsidP="00A67C91">
      <w:pPr>
        <w:ind w:left="567" w:hanging="387"/>
        <w:jc w:val="both"/>
        <w:rPr>
          <w:rFonts w:cs="Arial"/>
          <w:color w:val="auto"/>
          <w:szCs w:val="20"/>
          <w:lang w:val="pt-BR"/>
        </w:rPr>
      </w:pPr>
    </w:p>
    <w:p w14:paraId="6A598F8C"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13.3. Se o Contrato for resolvido por motivo de Força Maior, as partes negociarão de boa-fé quaisquer pagamentos ou reembolsos que lhes sejam devidos e justos.</w:t>
      </w:r>
    </w:p>
    <w:p w14:paraId="08E4D3B1" w14:textId="77777777" w:rsidR="00A67C91" w:rsidRPr="00A67C91" w:rsidRDefault="00A67C91" w:rsidP="00A67C91">
      <w:pPr>
        <w:ind w:left="180"/>
        <w:jc w:val="both"/>
        <w:rPr>
          <w:rFonts w:cs="Arial"/>
          <w:color w:val="auto"/>
          <w:szCs w:val="20"/>
          <w:lang w:val="pt-BR"/>
        </w:rPr>
      </w:pPr>
    </w:p>
    <w:p w14:paraId="4D99DB02" w14:textId="77777777" w:rsidR="00A67C91" w:rsidRPr="00A67C91" w:rsidRDefault="00A67C91" w:rsidP="00A67C91">
      <w:pPr>
        <w:jc w:val="both"/>
        <w:rPr>
          <w:rFonts w:cs="Arial"/>
          <w:color w:val="auto"/>
          <w:szCs w:val="20"/>
          <w:lang w:val="pt-BR"/>
        </w:rPr>
      </w:pPr>
      <w:r w:rsidRPr="00A67C91">
        <w:rPr>
          <w:rFonts w:cs="Arial"/>
          <w:b/>
          <w:color w:val="auto"/>
          <w:szCs w:val="20"/>
          <w:lang w:val="pt-BR"/>
        </w:rPr>
        <w:t>14.</w:t>
      </w:r>
      <w:r w:rsidRPr="00A67C91">
        <w:rPr>
          <w:rFonts w:cs="Arial"/>
          <w:color w:val="auto"/>
          <w:szCs w:val="20"/>
          <w:lang w:val="pt-BR"/>
        </w:rPr>
        <w:t xml:space="preserve"> </w:t>
      </w:r>
      <w:r w:rsidRPr="00A67C91">
        <w:rPr>
          <w:rFonts w:cs="Arial"/>
          <w:b/>
          <w:color w:val="auto"/>
          <w:szCs w:val="20"/>
          <w:u w:val="single"/>
          <w:lang w:val="pt-BR"/>
        </w:rPr>
        <w:t>Rescisão / Resolução</w:t>
      </w:r>
    </w:p>
    <w:p w14:paraId="2273ADED" w14:textId="77777777" w:rsidR="00A67C91" w:rsidRPr="00A67C91" w:rsidRDefault="00A67C91" w:rsidP="00A67C91">
      <w:pPr>
        <w:ind w:left="270"/>
        <w:jc w:val="both"/>
        <w:rPr>
          <w:rFonts w:cs="Arial"/>
          <w:color w:val="auto"/>
          <w:szCs w:val="20"/>
          <w:lang w:val="pt-BR"/>
        </w:rPr>
      </w:pPr>
    </w:p>
    <w:p w14:paraId="4AE41A8A"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14.1. </w:t>
      </w:r>
      <w:r w:rsidRPr="00A67C91">
        <w:rPr>
          <w:rFonts w:cs="Arial"/>
          <w:b/>
          <w:color w:val="auto"/>
          <w:szCs w:val="20"/>
          <w:u w:val="single"/>
          <w:lang w:val="pt-BR"/>
        </w:rPr>
        <w:t>Motivada</w:t>
      </w:r>
      <w:r w:rsidRPr="00A67C91">
        <w:rPr>
          <w:rFonts w:cs="Arial"/>
          <w:color w:val="auto"/>
          <w:szCs w:val="20"/>
          <w:lang w:val="pt-BR"/>
        </w:rPr>
        <w:t>. Os termos e condições relativos à Rescisão Motivada deste Contrato / Pedido encontram-se definidas nas seções ‘Termo e Rescisão’ dos Anexos A, B, C e D, conforme o caso, os quais fazem parte integrante deste Contrato.</w:t>
      </w:r>
    </w:p>
    <w:p w14:paraId="2BDAF7E0" w14:textId="77777777" w:rsidR="00A67C91" w:rsidRPr="00A67C91" w:rsidRDefault="00A67C91" w:rsidP="00A67C91">
      <w:pPr>
        <w:ind w:left="567" w:hanging="387"/>
        <w:jc w:val="both"/>
        <w:rPr>
          <w:rFonts w:cs="Arial"/>
          <w:color w:val="auto"/>
          <w:szCs w:val="20"/>
          <w:lang w:val="pt-BR"/>
        </w:rPr>
      </w:pPr>
    </w:p>
    <w:p w14:paraId="0A641AC1"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14.2. </w:t>
      </w:r>
      <w:r w:rsidRPr="00A67C91">
        <w:rPr>
          <w:rFonts w:cs="Arial"/>
          <w:b/>
          <w:color w:val="auto"/>
          <w:szCs w:val="20"/>
          <w:u w:val="single"/>
          <w:lang w:val="pt-BR"/>
        </w:rPr>
        <w:t>Imotivada</w:t>
      </w:r>
      <w:r w:rsidRPr="00A67C91">
        <w:rPr>
          <w:rFonts w:cs="Arial"/>
          <w:color w:val="auto"/>
          <w:szCs w:val="20"/>
          <w:lang w:val="pt-BR"/>
        </w:rPr>
        <w:t xml:space="preserve">. O Cliente poderá resolver o presente Contrato / Pedido a qualquer momento durante sua vigência, enviando uma notificação por escrito com antecedência mínima de trinta (30) dias à Hexagon. Não obstante o acima exposto, aplicar-se-ão as seguintes disposições como consequência de resolução unilateral: </w:t>
      </w:r>
    </w:p>
    <w:p w14:paraId="3D631171" w14:textId="77777777" w:rsidR="00A67C91" w:rsidRPr="00A67C91" w:rsidRDefault="00A67C91" w:rsidP="00A67C91">
      <w:pPr>
        <w:ind w:left="567" w:hanging="387"/>
        <w:jc w:val="both"/>
        <w:rPr>
          <w:rFonts w:cs="Arial"/>
          <w:color w:val="auto"/>
          <w:szCs w:val="20"/>
          <w:lang w:val="pt-BR"/>
        </w:rPr>
      </w:pPr>
    </w:p>
    <w:p w14:paraId="1CA0DFCA" w14:textId="77777777" w:rsidR="00A67C91" w:rsidRPr="00A67C91" w:rsidRDefault="00A67C91" w:rsidP="00A67C91">
      <w:pPr>
        <w:pStyle w:val="ListParagraph"/>
        <w:ind w:left="993" w:hanging="284"/>
        <w:jc w:val="both"/>
        <w:rPr>
          <w:rFonts w:ascii="Arial" w:hAnsi="Arial" w:cs="Arial"/>
          <w:sz w:val="20"/>
          <w:szCs w:val="20"/>
          <w:lang w:val="pt-BR"/>
        </w:rPr>
      </w:pPr>
      <w:r w:rsidRPr="00A67C91">
        <w:rPr>
          <w:rFonts w:ascii="Arial" w:hAnsi="Arial" w:cs="Arial"/>
          <w:sz w:val="20"/>
          <w:szCs w:val="20"/>
          <w:lang w:val="pt-BR"/>
        </w:rPr>
        <w:lastRenderedPageBreak/>
        <w:t xml:space="preserve">a. </w:t>
      </w:r>
      <w:r w:rsidRPr="00A67C91">
        <w:rPr>
          <w:rFonts w:ascii="Arial" w:hAnsi="Arial" w:cs="Arial"/>
          <w:sz w:val="20"/>
          <w:szCs w:val="20"/>
          <w:lang w:val="pt-BR"/>
        </w:rPr>
        <w:tab/>
        <w:t>O Cliente pagará uma multa rescisória equivalente a cinquenta por cento (50%) do saldo remanescente do contrato ou o valor equivalente a 12 (doze) meses de faturamento se o Contrato / Pedido não tivesse sido resolvido; o que for maior;</w:t>
      </w:r>
    </w:p>
    <w:p w14:paraId="62B603A6" w14:textId="77777777" w:rsidR="00A67C91" w:rsidRPr="00A67C91" w:rsidRDefault="00A67C91" w:rsidP="00A67C91">
      <w:pPr>
        <w:pStyle w:val="ListParagraph"/>
        <w:ind w:left="993" w:hanging="284"/>
        <w:jc w:val="both"/>
        <w:rPr>
          <w:rFonts w:ascii="Arial" w:hAnsi="Arial" w:cs="Arial"/>
          <w:sz w:val="20"/>
          <w:szCs w:val="20"/>
          <w:lang w:val="pt-BR"/>
        </w:rPr>
      </w:pPr>
    </w:p>
    <w:p w14:paraId="7BB6EB24" w14:textId="77777777" w:rsidR="00A67C91" w:rsidRPr="00A67C91" w:rsidRDefault="00A67C91" w:rsidP="00A67C91">
      <w:pPr>
        <w:pStyle w:val="ListParagraph"/>
        <w:ind w:left="993" w:hanging="284"/>
        <w:jc w:val="both"/>
        <w:rPr>
          <w:rFonts w:ascii="Arial" w:hAnsi="Arial" w:cs="Arial"/>
          <w:sz w:val="20"/>
          <w:szCs w:val="20"/>
          <w:lang w:val="pt-BR"/>
        </w:rPr>
      </w:pPr>
      <w:r w:rsidRPr="00A67C91">
        <w:rPr>
          <w:rFonts w:ascii="Arial" w:hAnsi="Arial" w:cs="Arial"/>
          <w:sz w:val="20"/>
          <w:szCs w:val="20"/>
          <w:lang w:val="pt-BR"/>
        </w:rPr>
        <w:t xml:space="preserve">b. </w:t>
      </w:r>
      <w:r w:rsidRPr="00A67C91">
        <w:rPr>
          <w:rFonts w:ascii="Arial" w:hAnsi="Arial" w:cs="Arial"/>
          <w:sz w:val="20"/>
          <w:szCs w:val="20"/>
          <w:lang w:val="pt-BR"/>
        </w:rPr>
        <w:tab/>
        <w:t xml:space="preserve">As tarifas relativas ao ano corrente pagas antecipadamente não serão reembolsadas. </w:t>
      </w:r>
    </w:p>
    <w:p w14:paraId="3367BD3D" w14:textId="77777777" w:rsidR="00A67C91" w:rsidRPr="00A67C91" w:rsidRDefault="00A67C91" w:rsidP="00A67C91">
      <w:pPr>
        <w:pStyle w:val="ListParagraph"/>
        <w:ind w:left="993" w:hanging="284"/>
        <w:rPr>
          <w:rFonts w:ascii="Arial" w:hAnsi="Arial" w:cs="Arial"/>
          <w:sz w:val="20"/>
          <w:szCs w:val="20"/>
          <w:lang w:val="pt-BR"/>
        </w:rPr>
      </w:pPr>
    </w:p>
    <w:p w14:paraId="2DD39C10" w14:textId="77777777" w:rsidR="00A67C91" w:rsidRPr="00A67C91" w:rsidRDefault="00A67C91" w:rsidP="00A67C91">
      <w:pPr>
        <w:pStyle w:val="ListParagraph"/>
        <w:ind w:left="993" w:hanging="284"/>
        <w:jc w:val="both"/>
        <w:rPr>
          <w:rFonts w:ascii="Arial" w:hAnsi="Arial" w:cs="Arial"/>
          <w:sz w:val="20"/>
          <w:szCs w:val="20"/>
          <w:lang w:val="pt-BR"/>
        </w:rPr>
      </w:pPr>
      <w:r w:rsidRPr="00A67C91">
        <w:rPr>
          <w:rFonts w:ascii="Arial" w:hAnsi="Arial" w:cs="Arial"/>
          <w:sz w:val="20"/>
          <w:szCs w:val="20"/>
          <w:lang w:val="pt-BR"/>
        </w:rPr>
        <w:t xml:space="preserve">c. </w:t>
      </w:r>
      <w:r w:rsidRPr="00A67C91">
        <w:rPr>
          <w:rFonts w:ascii="Arial" w:hAnsi="Arial" w:cs="Arial"/>
          <w:sz w:val="20"/>
          <w:szCs w:val="20"/>
          <w:lang w:val="pt-BR"/>
        </w:rPr>
        <w:tab/>
        <w:t>Quando as tarifas de Manutenção/Subscrição não forem pagas de maneira antecipada e o Cliente resolver o Contrato/Pedido antes do final de sua vigência, o Cliente pagará o restante das tarifas de Manutenção/Subscrição correspondentes ao prazo remanescente de Manutenção/Subscrição relativo ao ano em questão;</w:t>
      </w:r>
    </w:p>
    <w:p w14:paraId="2A16CF8E" w14:textId="77777777" w:rsidR="00A67C91" w:rsidRPr="00A67C91" w:rsidRDefault="00A67C91" w:rsidP="00A67C91">
      <w:pPr>
        <w:pStyle w:val="ListParagraph"/>
        <w:ind w:left="993" w:hanging="284"/>
        <w:jc w:val="both"/>
        <w:rPr>
          <w:rFonts w:ascii="Arial" w:hAnsi="Arial" w:cs="Arial"/>
          <w:sz w:val="20"/>
          <w:szCs w:val="20"/>
          <w:lang w:val="pt-BR"/>
        </w:rPr>
      </w:pPr>
    </w:p>
    <w:p w14:paraId="482547D6" w14:textId="77777777" w:rsidR="00A67C91" w:rsidRPr="00A67C91" w:rsidRDefault="00A67C91" w:rsidP="00A67C91">
      <w:pPr>
        <w:pStyle w:val="ListParagraph"/>
        <w:ind w:left="993" w:hanging="284"/>
        <w:jc w:val="both"/>
        <w:rPr>
          <w:rFonts w:ascii="Arial" w:hAnsi="Arial" w:cs="Arial"/>
          <w:sz w:val="20"/>
          <w:szCs w:val="20"/>
          <w:lang w:val="pt-BR"/>
        </w:rPr>
      </w:pPr>
      <w:r w:rsidRPr="00A67C91">
        <w:rPr>
          <w:rFonts w:ascii="Arial" w:hAnsi="Arial" w:cs="Arial"/>
          <w:sz w:val="20"/>
          <w:szCs w:val="20"/>
          <w:lang w:val="pt-BR"/>
        </w:rPr>
        <w:t>d.</w:t>
      </w:r>
      <w:r w:rsidRPr="00A67C91">
        <w:rPr>
          <w:rFonts w:ascii="Arial" w:hAnsi="Arial" w:cs="Arial"/>
          <w:sz w:val="20"/>
          <w:szCs w:val="20"/>
          <w:lang w:val="pt-BR"/>
        </w:rPr>
        <w:tab/>
        <w:t>A Hexagon também será reembolsada por todos os custos e despesas incorridos em relação à desmobilização de Pessoal e equipamentos da Hexagon (se houver) do local do Cliente, incluindo subcontratados; e</w:t>
      </w:r>
    </w:p>
    <w:p w14:paraId="5941C0FF" w14:textId="77777777" w:rsidR="00A67C91" w:rsidRPr="00A67C91" w:rsidRDefault="00A67C91" w:rsidP="00A67C91">
      <w:pPr>
        <w:ind w:left="993" w:hanging="284"/>
        <w:jc w:val="both"/>
        <w:rPr>
          <w:rFonts w:cs="Arial"/>
          <w:color w:val="auto"/>
          <w:szCs w:val="20"/>
          <w:u w:val="single"/>
          <w:lang w:val="pt-BR"/>
        </w:rPr>
      </w:pPr>
    </w:p>
    <w:p w14:paraId="4A95D1D3" w14:textId="77777777" w:rsidR="00A67C91" w:rsidRPr="00A67C91" w:rsidRDefault="00A67C91" w:rsidP="00A67C91">
      <w:pPr>
        <w:pStyle w:val="ListParagraph"/>
        <w:ind w:left="993" w:hanging="284"/>
        <w:jc w:val="both"/>
        <w:rPr>
          <w:rFonts w:ascii="Arial" w:hAnsi="Arial" w:cs="Arial"/>
          <w:sz w:val="20"/>
          <w:szCs w:val="20"/>
          <w:lang w:val="pt-BR"/>
        </w:rPr>
      </w:pPr>
      <w:r w:rsidRPr="00A67C91">
        <w:rPr>
          <w:rFonts w:ascii="Arial" w:hAnsi="Arial" w:cs="Arial"/>
          <w:sz w:val="20"/>
          <w:szCs w:val="20"/>
          <w:lang w:val="pt-BR"/>
        </w:rPr>
        <w:t xml:space="preserve">e. </w:t>
      </w:r>
      <w:r w:rsidRPr="00A67C91">
        <w:rPr>
          <w:rFonts w:ascii="Arial" w:hAnsi="Arial" w:cs="Arial"/>
          <w:sz w:val="20"/>
          <w:szCs w:val="20"/>
          <w:lang w:val="pt-BR"/>
        </w:rPr>
        <w:tab/>
        <w:t>Se o Cliente resolver imotivadamente um Pedido de Hardware, o Cliente reembolsará a Hexagon por todos os itens de Hardware referentes a tal Pedido fabricados dentro do período entre a data de aceite do Pedido e a data em que a Hexagon recebeu o aviso de resolução. O reembolso se aplicará mesmo se os itens de Hardware correspondentes não forem entregues ao Cliente antes da resolução do Pedido/Contrato e deverá incluir quaisquer despesas associadas, tais como, mas não se limitando a horas de trabalho gastas na fabricação dos itens de Hardware, peças, componentes e insumos.</w:t>
      </w:r>
    </w:p>
    <w:p w14:paraId="709F67A9" w14:textId="77777777" w:rsidR="00A67C91" w:rsidRPr="00A67C91" w:rsidRDefault="00A67C91" w:rsidP="00A67C91">
      <w:pPr>
        <w:ind w:left="567" w:hanging="387"/>
        <w:jc w:val="both"/>
        <w:rPr>
          <w:rFonts w:cs="Arial"/>
          <w:color w:val="auto"/>
          <w:szCs w:val="20"/>
          <w:lang w:val="pt-BR"/>
        </w:rPr>
      </w:pPr>
    </w:p>
    <w:p w14:paraId="2E58C0B2" w14:textId="77777777" w:rsidR="00A67C91" w:rsidRPr="00A67C91" w:rsidRDefault="00A67C91" w:rsidP="00A67C91">
      <w:pPr>
        <w:pStyle w:val="ListParagraph"/>
        <w:tabs>
          <w:tab w:val="left" w:pos="360"/>
        </w:tabs>
        <w:ind w:left="567" w:hanging="387"/>
        <w:jc w:val="both"/>
        <w:rPr>
          <w:rFonts w:ascii="Arial" w:eastAsia="Times New Roman" w:hAnsi="Arial" w:cs="Arial"/>
          <w:sz w:val="20"/>
          <w:szCs w:val="20"/>
          <w:lang w:val="pt-BR"/>
        </w:rPr>
      </w:pPr>
      <w:r w:rsidRPr="00A67C91">
        <w:rPr>
          <w:rFonts w:ascii="Arial" w:eastAsia="Times New Roman" w:hAnsi="Arial" w:cs="Arial"/>
          <w:sz w:val="20"/>
          <w:szCs w:val="20"/>
          <w:lang w:val="pt-BR"/>
        </w:rPr>
        <w:t xml:space="preserve">14.3. </w:t>
      </w:r>
      <w:r w:rsidRPr="00A67C91">
        <w:rPr>
          <w:rFonts w:ascii="Arial" w:eastAsia="Times New Roman" w:hAnsi="Arial" w:cs="Arial"/>
          <w:b/>
          <w:sz w:val="20"/>
          <w:szCs w:val="20"/>
          <w:u w:val="single"/>
          <w:lang w:val="pt-BR"/>
        </w:rPr>
        <w:t>Devido a Força Maior</w:t>
      </w:r>
      <w:r w:rsidRPr="00A67C91">
        <w:rPr>
          <w:rFonts w:ascii="Arial" w:eastAsia="Times New Roman" w:hAnsi="Arial" w:cs="Arial"/>
          <w:sz w:val="20"/>
          <w:szCs w:val="20"/>
          <w:lang w:val="pt-BR"/>
        </w:rPr>
        <w:t>: O Cliente ou a Hexagon, conforme o caso, poderá rescindir o Contrato ou Pedido a qualquer momento durante seu prazo se um atraso ou falha no cumprimento de suas obrigações exceder sessenta (60) dias devido à ocorrência de um evento de Força Maior. Nesse caso, a parte afetada pelo evento de Força Maior poderá rescindir o Contrato ou Pedido mediante notificação imediata por escrito à outra parte.</w:t>
      </w:r>
    </w:p>
    <w:p w14:paraId="1DE541B6" w14:textId="77777777" w:rsidR="00A67C91" w:rsidRPr="00A67C91" w:rsidRDefault="00A67C91" w:rsidP="00A67C91">
      <w:pPr>
        <w:ind w:left="567" w:hanging="387"/>
        <w:jc w:val="both"/>
        <w:rPr>
          <w:rFonts w:cs="Arial"/>
          <w:color w:val="auto"/>
          <w:szCs w:val="20"/>
          <w:u w:val="single"/>
          <w:lang w:val="pt-BR"/>
        </w:rPr>
      </w:pPr>
    </w:p>
    <w:p w14:paraId="7F169CCF"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14.4. </w:t>
      </w:r>
      <w:r w:rsidRPr="00A67C91">
        <w:rPr>
          <w:rFonts w:cs="Arial"/>
          <w:b/>
          <w:color w:val="auto"/>
          <w:szCs w:val="20"/>
          <w:u w:val="single"/>
          <w:lang w:val="pt-BR"/>
        </w:rPr>
        <w:t>Efeitos da Rescisão, Resolução ou Término</w:t>
      </w:r>
      <w:r w:rsidRPr="00A67C91">
        <w:rPr>
          <w:rFonts w:cs="Arial"/>
          <w:color w:val="auto"/>
          <w:szCs w:val="20"/>
          <w:lang w:val="pt-BR"/>
        </w:rPr>
        <w:t xml:space="preserve">. Após a rescisão, resolução ou término deste Contrato / Pedido: </w:t>
      </w:r>
    </w:p>
    <w:p w14:paraId="218AAC29" w14:textId="77777777" w:rsidR="00A67C91" w:rsidRPr="00A67C91" w:rsidRDefault="00A67C91" w:rsidP="00A67C91">
      <w:pPr>
        <w:ind w:left="567" w:hanging="387"/>
        <w:jc w:val="both"/>
        <w:rPr>
          <w:rFonts w:cs="Arial"/>
          <w:color w:val="auto"/>
          <w:szCs w:val="20"/>
          <w:lang w:val="pt-BR"/>
        </w:rPr>
      </w:pPr>
    </w:p>
    <w:p w14:paraId="5FFB5737"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t xml:space="preserve">(A) </w:t>
      </w:r>
      <w:r w:rsidRPr="00A67C91">
        <w:rPr>
          <w:rFonts w:ascii="Arial" w:hAnsi="Arial" w:cs="Arial"/>
          <w:sz w:val="20"/>
          <w:szCs w:val="20"/>
          <w:lang w:val="pt-BR"/>
        </w:rPr>
        <w:tab/>
        <w:t xml:space="preserve">O Cliente concorda em pagar imediatamente quaisquer valores pendentes à Hexagon por qualquer motivo; </w:t>
      </w:r>
    </w:p>
    <w:p w14:paraId="484DCD45" w14:textId="77777777" w:rsidR="00A67C91" w:rsidRPr="00A67C91" w:rsidRDefault="00A67C91" w:rsidP="00A67C91">
      <w:pPr>
        <w:pStyle w:val="ListParagraph"/>
        <w:ind w:left="1134" w:hanging="425"/>
        <w:jc w:val="both"/>
        <w:rPr>
          <w:rFonts w:ascii="Arial" w:hAnsi="Arial" w:cs="Arial"/>
          <w:sz w:val="20"/>
          <w:szCs w:val="20"/>
          <w:lang w:val="pt-BR"/>
        </w:rPr>
      </w:pPr>
    </w:p>
    <w:p w14:paraId="6BC8A64E"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t xml:space="preserve">(B) </w:t>
      </w:r>
      <w:r w:rsidRPr="00A67C91">
        <w:rPr>
          <w:rFonts w:ascii="Arial" w:hAnsi="Arial" w:cs="Arial"/>
          <w:sz w:val="20"/>
          <w:szCs w:val="20"/>
          <w:lang w:val="pt-BR"/>
        </w:rPr>
        <w:tab/>
        <w:t>Caso a rescisão ocorra devido ao inadimplemento por parte do Cliente, a Licença será revogada;</w:t>
      </w:r>
    </w:p>
    <w:p w14:paraId="0BA1012A" w14:textId="77777777" w:rsidR="00A67C91" w:rsidRPr="00A67C91" w:rsidRDefault="00A67C91" w:rsidP="00A67C91">
      <w:pPr>
        <w:pStyle w:val="ListParagraph"/>
        <w:ind w:left="1134" w:hanging="425"/>
        <w:rPr>
          <w:rFonts w:ascii="Arial" w:hAnsi="Arial" w:cs="Arial"/>
          <w:sz w:val="20"/>
          <w:szCs w:val="20"/>
          <w:lang w:val="pt-BR"/>
        </w:rPr>
      </w:pPr>
    </w:p>
    <w:p w14:paraId="3AB6616E"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t xml:space="preserve">(C) </w:t>
      </w:r>
      <w:r w:rsidRPr="00A67C91">
        <w:rPr>
          <w:rFonts w:ascii="Arial" w:hAnsi="Arial" w:cs="Arial"/>
          <w:sz w:val="20"/>
          <w:szCs w:val="20"/>
          <w:lang w:val="pt-BR"/>
        </w:rPr>
        <w:tab/>
        <w:t>Ao término de uma Subscrição, o Cliente deverá interromper imediatamente todo o uso das licenças de Software e / ou unidades de Hardware de propriedade da Hexagon;</w:t>
      </w:r>
    </w:p>
    <w:p w14:paraId="01C48325" w14:textId="77777777" w:rsidR="00A67C91" w:rsidRPr="00A67C91" w:rsidRDefault="00A67C91" w:rsidP="00A67C91">
      <w:pPr>
        <w:pStyle w:val="ListParagraph"/>
        <w:ind w:left="1134" w:hanging="425"/>
        <w:rPr>
          <w:rFonts w:ascii="Arial" w:hAnsi="Arial" w:cs="Arial"/>
          <w:sz w:val="20"/>
          <w:szCs w:val="20"/>
          <w:lang w:val="pt-BR"/>
        </w:rPr>
      </w:pPr>
    </w:p>
    <w:p w14:paraId="6AE7CF2C"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t xml:space="preserve">(D) </w:t>
      </w:r>
      <w:r w:rsidRPr="00A67C91">
        <w:rPr>
          <w:rFonts w:ascii="Arial" w:hAnsi="Arial" w:cs="Arial"/>
          <w:sz w:val="20"/>
          <w:szCs w:val="20"/>
          <w:lang w:val="pt-BR"/>
        </w:rPr>
        <w:tab/>
        <w:t>Se fornecido nos termos de um Contrato de Subscrição, o Cliente deverá, dentro de cinco (5) dias úteis após qualquer a rescisão, resolução ou término do Contrato ou Pedido, pagar quaisquer custos relacionados à desmobilização do pessoal da Hexagon do local do Cliente e devolver à Hexagon todos os materiais relacionados (ex.: mídia, chaves de hardware, chaves de licença, arquivos de licença, manuais de produtos, livretos de treinamento, etc.). O Cliente também deverá interromper o uso do Software e Hardware e destruir ou devolver todas as cópias do Software, devolver todos os itens de Hardware e materiais relacionados (ex.: mídia, chaves de hardware, chaves de licença, arquivos de licença, etc.) e todas as cópias dos mesmos que estejam em sua posse. Todos os itens devolvidos devem estar em boas condições de funcionamento, considerados o desgaste normal e depreciação esperados, e devidamente embalados e enviados para evitar qualquer dano ou perda durante o transporte. O Cliente assumirá toda a responsabilidade por qualquer perda ou danos a tais itens durante o envio até que esses itens cheguem às dependências da Hexagon. Quaisquer custos e despesas associados à destruição ou devolução dos Produtos da Hexagon serão de responsabilidade do Cliente.</w:t>
      </w:r>
    </w:p>
    <w:p w14:paraId="5A03B5AF" w14:textId="77777777" w:rsidR="00A67C91" w:rsidRPr="00A67C91" w:rsidRDefault="00A67C91" w:rsidP="00A67C91">
      <w:pPr>
        <w:pStyle w:val="ListParagraph"/>
        <w:ind w:left="1134" w:hanging="425"/>
        <w:rPr>
          <w:rFonts w:ascii="Arial" w:hAnsi="Arial" w:cs="Arial"/>
          <w:sz w:val="20"/>
          <w:szCs w:val="20"/>
          <w:lang w:val="pt-BR"/>
        </w:rPr>
      </w:pPr>
    </w:p>
    <w:p w14:paraId="5B5DDE4D"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lastRenderedPageBreak/>
        <w:t xml:space="preserve">(E) </w:t>
      </w:r>
      <w:r w:rsidRPr="00A67C91">
        <w:rPr>
          <w:rFonts w:ascii="Arial" w:hAnsi="Arial" w:cs="Arial"/>
          <w:sz w:val="20"/>
          <w:szCs w:val="20"/>
          <w:lang w:val="pt-BR"/>
        </w:rPr>
        <w:tab/>
        <w:t>A rescisão, resolução, suspensão ou término deste Contrato não afetará quaisquer direitos adquiridos por uma parte antes da rescisão, resolução, suspensão ou término.</w:t>
      </w:r>
    </w:p>
    <w:p w14:paraId="3B26271C" w14:textId="77777777" w:rsidR="00A67C91" w:rsidRPr="00A67C91" w:rsidRDefault="00A67C91" w:rsidP="00A67C91">
      <w:pPr>
        <w:pStyle w:val="ListParagraph"/>
        <w:ind w:left="1134" w:hanging="425"/>
        <w:rPr>
          <w:rFonts w:ascii="Arial" w:hAnsi="Arial" w:cs="Arial"/>
          <w:sz w:val="20"/>
          <w:szCs w:val="20"/>
          <w:lang w:val="pt-BR"/>
        </w:rPr>
      </w:pPr>
    </w:p>
    <w:p w14:paraId="41B72FAB" w14:textId="77777777" w:rsidR="00A67C91" w:rsidRPr="00A67C91" w:rsidRDefault="00A67C91" w:rsidP="00A67C91">
      <w:pPr>
        <w:pStyle w:val="ListParagraph"/>
        <w:ind w:left="1134" w:hanging="425"/>
        <w:jc w:val="both"/>
        <w:rPr>
          <w:rFonts w:ascii="Arial" w:hAnsi="Arial" w:cs="Arial"/>
          <w:sz w:val="20"/>
          <w:szCs w:val="20"/>
          <w:lang w:val="pt-BR"/>
        </w:rPr>
      </w:pPr>
      <w:r w:rsidRPr="00A67C91">
        <w:rPr>
          <w:rFonts w:ascii="Arial" w:hAnsi="Arial" w:cs="Arial"/>
          <w:sz w:val="20"/>
          <w:szCs w:val="20"/>
          <w:lang w:val="pt-BR"/>
        </w:rPr>
        <w:t xml:space="preserve">(F) </w:t>
      </w:r>
      <w:r w:rsidRPr="00A67C91">
        <w:rPr>
          <w:rFonts w:ascii="Arial" w:hAnsi="Arial" w:cs="Arial"/>
          <w:sz w:val="20"/>
          <w:szCs w:val="20"/>
          <w:lang w:val="pt-BR"/>
        </w:rPr>
        <w:tab/>
        <w:t>Os termos do Contrato relativos ao dever de indenizar, controle de exportação e proteção de dados e direitos de propriedade intelectual permanecem indefinidamente exigíveis entre as partes contratantes.</w:t>
      </w:r>
    </w:p>
    <w:p w14:paraId="2BAC8C70" w14:textId="77777777" w:rsidR="00A67C91" w:rsidRPr="00A67C91" w:rsidRDefault="00A67C91" w:rsidP="00A67C91">
      <w:pPr>
        <w:ind w:left="180"/>
        <w:jc w:val="both"/>
        <w:rPr>
          <w:rFonts w:cs="Arial"/>
          <w:color w:val="auto"/>
          <w:szCs w:val="20"/>
          <w:lang w:val="pt-BR"/>
        </w:rPr>
      </w:pPr>
      <w:r w:rsidRPr="00A67C91">
        <w:rPr>
          <w:rFonts w:cs="Arial"/>
          <w:color w:val="auto"/>
          <w:szCs w:val="20"/>
          <w:lang w:val="pt-BR"/>
        </w:rPr>
        <w:t xml:space="preserve"> </w:t>
      </w:r>
    </w:p>
    <w:p w14:paraId="15946BF2" w14:textId="77777777" w:rsidR="00A67C91" w:rsidRPr="00A67C91" w:rsidRDefault="00A67C91" w:rsidP="00A67C91">
      <w:pPr>
        <w:pStyle w:val="Doc3"/>
        <w:numPr>
          <w:ilvl w:val="0"/>
          <w:numId w:val="0"/>
        </w:numPr>
        <w:tabs>
          <w:tab w:val="clear" w:pos="709"/>
          <w:tab w:val="left" w:pos="360"/>
        </w:tabs>
        <w:jc w:val="both"/>
        <w:rPr>
          <w:sz w:val="20"/>
          <w:szCs w:val="20"/>
          <w:lang w:val="pt-BR"/>
        </w:rPr>
      </w:pPr>
      <w:r w:rsidRPr="00A67C91">
        <w:rPr>
          <w:b/>
          <w:sz w:val="20"/>
          <w:szCs w:val="20"/>
          <w:lang w:val="pt-BR"/>
        </w:rPr>
        <w:t>15.</w:t>
      </w:r>
      <w:r w:rsidRPr="00A67C91">
        <w:rPr>
          <w:sz w:val="20"/>
          <w:szCs w:val="20"/>
          <w:lang w:val="pt-BR"/>
        </w:rPr>
        <w:t xml:space="preserve"> </w:t>
      </w:r>
      <w:r w:rsidRPr="00A67C91">
        <w:rPr>
          <w:b/>
          <w:sz w:val="20"/>
          <w:szCs w:val="20"/>
          <w:u w:val="single"/>
          <w:lang w:val="pt-BR"/>
        </w:rPr>
        <w:t>Reembolsos</w:t>
      </w:r>
      <w:r w:rsidRPr="00A67C91">
        <w:rPr>
          <w:sz w:val="20"/>
          <w:szCs w:val="20"/>
          <w:lang w:val="pt-BR"/>
        </w:rPr>
        <w:t>.</w:t>
      </w:r>
    </w:p>
    <w:p w14:paraId="79FDF2C9" w14:textId="77777777" w:rsidR="00A67C91" w:rsidRPr="00A67C91" w:rsidRDefault="00A67C91" w:rsidP="00A67C91">
      <w:pPr>
        <w:pStyle w:val="Doc3"/>
        <w:numPr>
          <w:ilvl w:val="0"/>
          <w:numId w:val="0"/>
        </w:numPr>
        <w:tabs>
          <w:tab w:val="clear" w:pos="709"/>
          <w:tab w:val="left" w:pos="360"/>
        </w:tabs>
        <w:ind w:left="450"/>
        <w:jc w:val="both"/>
        <w:rPr>
          <w:sz w:val="20"/>
          <w:szCs w:val="20"/>
          <w:lang w:val="pt-BR"/>
        </w:rPr>
      </w:pPr>
      <w:r w:rsidRPr="00A67C91">
        <w:rPr>
          <w:sz w:val="20"/>
          <w:szCs w:val="20"/>
          <w:lang w:val="pt-BR"/>
        </w:rPr>
        <w:t xml:space="preserve"> </w:t>
      </w:r>
    </w:p>
    <w:p w14:paraId="1E57FAFD"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r w:rsidRPr="00A67C91">
        <w:rPr>
          <w:sz w:val="20"/>
          <w:szCs w:val="20"/>
          <w:lang w:val="pt-BR"/>
        </w:rPr>
        <w:t xml:space="preserve">15.1. </w:t>
      </w:r>
      <w:r w:rsidRPr="00A67C91">
        <w:rPr>
          <w:sz w:val="20"/>
          <w:szCs w:val="20"/>
          <w:lang w:val="pt-BR"/>
        </w:rPr>
        <w:tab/>
      </w:r>
      <w:r w:rsidRPr="00A67C91">
        <w:rPr>
          <w:b/>
          <w:sz w:val="20"/>
          <w:szCs w:val="20"/>
          <w:lang w:val="pt-BR"/>
        </w:rPr>
        <w:t>Software</w:t>
      </w:r>
      <w:r w:rsidRPr="00A67C91">
        <w:rPr>
          <w:sz w:val="20"/>
          <w:szCs w:val="20"/>
          <w:lang w:val="pt-BR"/>
        </w:rPr>
        <w:t>. As tarifas de licença de Software nos termos de um Contrato / Pedido de Compra ou de Subscrição não são reembolsáveis se o Contrato for rescindido ou resolvido.</w:t>
      </w:r>
    </w:p>
    <w:p w14:paraId="30447A07"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p>
    <w:p w14:paraId="4E0A2846"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r w:rsidRPr="00A67C91">
        <w:rPr>
          <w:sz w:val="20"/>
          <w:szCs w:val="20"/>
          <w:lang w:val="pt-BR"/>
        </w:rPr>
        <w:t xml:space="preserve">15.2. </w:t>
      </w:r>
      <w:r w:rsidRPr="00A67C91">
        <w:rPr>
          <w:b/>
          <w:sz w:val="20"/>
          <w:szCs w:val="20"/>
          <w:lang w:val="pt-BR"/>
        </w:rPr>
        <w:t>Hardware</w:t>
      </w:r>
      <w:r w:rsidRPr="00A67C91">
        <w:rPr>
          <w:sz w:val="20"/>
          <w:szCs w:val="20"/>
          <w:lang w:val="pt-BR"/>
        </w:rPr>
        <w:t>. As tarifas de Hardware em um Contrato ou Pedido de Compra ou de Subscrição não são reembolsáveis, a menos que a Hexagon não consiga reparar ou substituir o Hardware com defeito, de acordo com as disposições estabelecidas nas Seções 5.2 (A), (B) e 8.3 do Anexo B.</w:t>
      </w:r>
    </w:p>
    <w:p w14:paraId="76B7D513"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p>
    <w:p w14:paraId="05763D55"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r w:rsidRPr="00A67C91">
        <w:rPr>
          <w:sz w:val="20"/>
          <w:szCs w:val="20"/>
          <w:lang w:val="pt-BR"/>
        </w:rPr>
        <w:t xml:space="preserve">15.3. </w:t>
      </w:r>
      <w:r w:rsidRPr="00A67C91">
        <w:rPr>
          <w:sz w:val="20"/>
          <w:szCs w:val="20"/>
          <w:lang w:val="pt-BR"/>
        </w:rPr>
        <w:tab/>
      </w:r>
      <w:r w:rsidRPr="00A67C91">
        <w:rPr>
          <w:b/>
          <w:sz w:val="20"/>
          <w:szCs w:val="20"/>
          <w:lang w:val="pt-BR"/>
        </w:rPr>
        <w:t>Serviços</w:t>
      </w:r>
      <w:r w:rsidRPr="00A67C91">
        <w:rPr>
          <w:sz w:val="20"/>
          <w:szCs w:val="20"/>
          <w:lang w:val="pt-BR"/>
        </w:rPr>
        <w:t>. As tarifas de Serviços não são reembolsáveis, a menos que a Hexagon seja incapaz de reparar os serviços defeituosos, de acordo com as disposições estabelecidas nas Seções 12.3 (A), (B) e 15.2 do Anexo C.</w:t>
      </w:r>
    </w:p>
    <w:p w14:paraId="241B8A12" w14:textId="77777777" w:rsidR="00A67C91" w:rsidRPr="00A67C91" w:rsidRDefault="00A67C91" w:rsidP="00A67C91">
      <w:pPr>
        <w:pStyle w:val="ListParagraph"/>
        <w:ind w:left="567" w:hanging="387"/>
        <w:rPr>
          <w:rFonts w:ascii="Arial" w:hAnsi="Arial" w:cs="Arial"/>
          <w:sz w:val="20"/>
          <w:szCs w:val="20"/>
          <w:lang w:val="pt-BR"/>
        </w:rPr>
      </w:pPr>
    </w:p>
    <w:p w14:paraId="4F8CA41D" w14:textId="77777777" w:rsidR="00A67C91" w:rsidRPr="00A67C91" w:rsidRDefault="00A67C91" w:rsidP="00A67C91">
      <w:pPr>
        <w:pStyle w:val="Doc3"/>
        <w:numPr>
          <w:ilvl w:val="0"/>
          <w:numId w:val="0"/>
        </w:numPr>
        <w:tabs>
          <w:tab w:val="clear" w:pos="709"/>
          <w:tab w:val="left" w:pos="360"/>
        </w:tabs>
        <w:ind w:left="567" w:hanging="387"/>
        <w:jc w:val="both"/>
        <w:rPr>
          <w:sz w:val="20"/>
          <w:szCs w:val="20"/>
          <w:lang w:val="pt-BR"/>
        </w:rPr>
      </w:pPr>
      <w:r w:rsidRPr="00A67C91">
        <w:rPr>
          <w:sz w:val="20"/>
          <w:szCs w:val="20"/>
          <w:lang w:val="pt-BR"/>
        </w:rPr>
        <w:t xml:space="preserve">15.4. </w:t>
      </w:r>
      <w:r w:rsidRPr="00A67C91">
        <w:rPr>
          <w:sz w:val="20"/>
          <w:szCs w:val="20"/>
          <w:lang w:val="pt-BR"/>
        </w:rPr>
        <w:tab/>
      </w:r>
      <w:r w:rsidRPr="00A67C91">
        <w:rPr>
          <w:b/>
          <w:sz w:val="20"/>
          <w:szCs w:val="20"/>
          <w:lang w:val="pt-BR"/>
        </w:rPr>
        <w:t>Manutenção/Subscrição</w:t>
      </w:r>
      <w:r w:rsidRPr="00A67C91">
        <w:rPr>
          <w:sz w:val="20"/>
          <w:szCs w:val="20"/>
          <w:lang w:val="pt-BR"/>
        </w:rPr>
        <w:t xml:space="preserve">. Nenhum reembolso será feito por taxas de Manutenção/Subscrição já pagas pelo Cliente para o período de Manutenção/Subscrição correspondente. </w:t>
      </w:r>
    </w:p>
    <w:p w14:paraId="6180C2A0" w14:textId="77777777" w:rsidR="00A67C91" w:rsidRPr="00A67C91" w:rsidRDefault="00A67C91" w:rsidP="00A67C91">
      <w:pPr>
        <w:ind w:left="270"/>
        <w:jc w:val="both"/>
        <w:rPr>
          <w:rFonts w:cs="Arial"/>
          <w:color w:val="auto"/>
          <w:szCs w:val="20"/>
          <w:lang w:val="pt-BR"/>
        </w:rPr>
      </w:pPr>
      <w:r w:rsidRPr="00A67C91">
        <w:rPr>
          <w:rFonts w:cs="Arial"/>
          <w:color w:val="auto"/>
          <w:szCs w:val="20"/>
          <w:lang w:val="pt-BR"/>
        </w:rPr>
        <w:t xml:space="preserve"> </w:t>
      </w:r>
    </w:p>
    <w:p w14:paraId="03FB3DEF" w14:textId="77777777" w:rsidR="004C1F9C" w:rsidRPr="00A67C91" w:rsidRDefault="004C1F9C" w:rsidP="004C1F9C">
      <w:pPr>
        <w:jc w:val="both"/>
        <w:rPr>
          <w:rFonts w:cs="Arial"/>
          <w:color w:val="auto"/>
          <w:szCs w:val="20"/>
          <w:lang w:val="es-CL"/>
        </w:rPr>
      </w:pPr>
      <w:r w:rsidRPr="00A67C91">
        <w:rPr>
          <w:rFonts w:cs="Arial"/>
          <w:color w:val="auto"/>
          <w:szCs w:val="20"/>
          <w:lang w:val="es-CL"/>
        </w:rPr>
        <w:t xml:space="preserve"> </w:t>
      </w:r>
    </w:p>
    <w:p w14:paraId="5B28295D" w14:textId="77777777" w:rsidR="00A67C91" w:rsidRPr="00A67C91" w:rsidRDefault="00A67C91" w:rsidP="00A67C91">
      <w:pPr>
        <w:rPr>
          <w:rFonts w:cs="Arial"/>
          <w:color w:val="auto"/>
          <w:szCs w:val="20"/>
          <w:lang w:val="pt-BR"/>
        </w:rPr>
      </w:pPr>
      <w:r w:rsidRPr="00A67C91">
        <w:rPr>
          <w:rFonts w:cs="Arial"/>
          <w:b/>
          <w:color w:val="auto"/>
          <w:szCs w:val="20"/>
          <w:lang w:val="pt-BR"/>
        </w:rPr>
        <w:t>16.</w:t>
      </w:r>
      <w:r w:rsidRPr="00A67C91">
        <w:rPr>
          <w:rFonts w:cs="Arial"/>
          <w:color w:val="auto"/>
          <w:szCs w:val="20"/>
          <w:lang w:val="pt-BR"/>
        </w:rPr>
        <w:t xml:space="preserve"> </w:t>
      </w:r>
      <w:r w:rsidRPr="00A67C91">
        <w:rPr>
          <w:rFonts w:cs="Arial"/>
          <w:b/>
          <w:color w:val="auto"/>
          <w:szCs w:val="20"/>
          <w:u w:val="single"/>
          <w:lang w:val="pt-BR"/>
        </w:rPr>
        <w:t>Disposições Gerais</w:t>
      </w:r>
      <w:r w:rsidRPr="00A67C91">
        <w:rPr>
          <w:rFonts w:cs="Arial"/>
          <w:color w:val="auto"/>
          <w:szCs w:val="20"/>
          <w:lang w:val="pt-BR"/>
        </w:rPr>
        <w:t>.</w:t>
      </w:r>
    </w:p>
    <w:p w14:paraId="2EC7C9E6" w14:textId="77777777" w:rsidR="00A67C91" w:rsidRPr="00A67C91" w:rsidRDefault="00A67C91" w:rsidP="00A67C91">
      <w:pPr>
        <w:ind w:left="180"/>
        <w:jc w:val="both"/>
        <w:rPr>
          <w:rFonts w:cs="Arial"/>
          <w:color w:val="auto"/>
          <w:szCs w:val="20"/>
          <w:lang w:val="pt-BR"/>
        </w:rPr>
      </w:pPr>
    </w:p>
    <w:p w14:paraId="419952B9"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 </w:t>
      </w:r>
      <w:r w:rsidRPr="00A67C91">
        <w:rPr>
          <w:rFonts w:cs="Arial"/>
          <w:b/>
          <w:color w:val="auto"/>
          <w:szCs w:val="20"/>
          <w:u w:val="single"/>
          <w:lang w:val="pt-BR"/>
        </w:rPr>
        <w:t>Acordo Integral</w:t>
      </w:r>
      <w:r w:rsidRPr="00A67C91">
        <w:rPr>
          <w:rFonts w:cs="Arial"/>
          <w:color w:val="auto"/>
          <w:szCs w:val="20"/>
          <w:lang w:val="pt-BR"/>
        </w:rPr>
        <w:t xml:space="preserve">. Nenhum termo adicional ou conflitante de qualquer outra fonte, como formulários de pedido de compra do Cliente ou outros documentos, correspondência ou termos e condições pré-impressos que possam ser trocados entre as partes (exceto estes Termos e Condições Gerais e seus anexos) se aplica a este Contrato. Este Contrato substitui e cancela todos os acordos, comunicações e negociações anteriores, sejam estes escritos ou verbais, entre as partes relação com relação ao seu objeto. </w:t>
      </w:r>
    </w:p>
    <w:p w14:paraId="320758B4" w14:textId="77777777" w:rsidR="00A67C91" w:rsidRPr="00A67C91" w:rsidRDefault="00A67C91" w:rsidP="00A67C91">
      <w:pPr>
        <w:ind w:left="567" w:hanging="387"/>
        <w:jc w:val="both"/>
        <w:rPr>
          <w:rFonts w:cs="Arial"/>
          <w:color w:val="auto"/>
          <w:szCs w:val="20"/>
          <w:lang w:val="pt-BR"/>
        </w:rPr>
      </w:pPr>
    </w:p>
    <w:p w14:paraId="5EE2AE88"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16.2. </w:t>
      </w:r>
      <w:r w:rsidRPr="00A67C91">
        <w:rPr>
          <w:rFonts w:cs="Arial"/>
          <w:b/>
          <w:color w:val="auto"/>
          <w:szCs w:val="20"/>
          <w:u w:val="single"/>
          <w:lang w:val="pt-BR"/>
        </w:rPr>
        <w:t>Alterações e Modificações</w:t>
      </w:r>
      <w:r w:rsidRPr="00A67C91">
        <w:rPr>
          <w:rFonts w:cs="Arial"/>
          <w:color w:val="auto"/>
          <w:szCs w:val="20"/>
          <w:lang w:val="pt-BR"/>
        </w:rPr>
        <w:t xml:space="preserve">. Quaisquer alterações, modificações ou outras mudanças neste Contrato, incluindo aquelas feitas em qualquer Pedido e em qualquer escopo de Produtos, devem ser realizadas por escrito e acordadas por ambas as partes para que se tornem válidas e vinculantes. </w:t>
      </w:r>
    </w:p>
    <w:p w14:paraId="394E79A3" w14:textId="77777777" w:rsidR="00A67C91" w:rsidRPr="00A67C91" w:rsidRDefault="00A67C91" w:rsidP="00A67C91">
      <w:pPr>
        <w:ind w:left="567" w:hanging="387"/>
        <w:jc w:val="both"/>
        <w:rPr>
          <w:rFonts w:cs="Arial"/>
          <w:color w:val="auto"/>
          <w:szCs w:val="20"/>
          <w:lang w:val="pt-BR"/>
        </w:rPr>
      </w:pPr>
    </w:p>
    <w:p w14:paraId="129D4114"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16.3. </w:t>
      </w:r>
      <w:r w:rsidRPr="00A67C91">
        <w:rPr>
          <w:rFonts w:cs="Arial"/>
          <w:b/>
          <w:color w:val="auto"/>
          <w:szCs w:val="20"/>
          <w:u w:val="single"/>
          <w:lang w:val="pt-BR"/>
        </w:rPr>
        <w:t>Independência</w:t>
      </w:r>
      <w:r w:rsidRPr="00A67C91">
        <w:rPr>
          <w:rFonts w:cs="Arial"/>
          <w:color w:val="auto"/>
          <w:szCs w:val="20"/>
          <w:lang w:val="pt-BR"/>
        </w:rPr>
        <w:t>. Se qualquer disposição do Contrato for considerada inválida ou inexequível, essa disposição não tornará todo o Contrato inexequível ou inválido, mas, ao invés disso, o Contrato será lido e interpretado, exclusivamente com respeito à disposição afetada, como se esta não estivesse contida nele ou, na medida do possível, estivesse em conformidade com a intenção original das partes; e os direitos e obrigações das partes serão interpretados e aplicados em conformidade com essa interpretação.</w:t>
      </w:r>
    </w:p>
    <w:p w14:paraId="35D64E18" w14:textId="77777777" w:rsidR="00A67C91" w:rsidRPr="00A67C91" w:rsidRDefault="00A67C91" w:rsidP="00A67C91">
      <w:pPr>
        <w:ind w:left="567" w:hanging="387"/>
        <w:jc w:val="both"/>
        <w:rPr>
          <w:rFonts w:cs="Arial"/>
          <w:color w:val="auto"/>
          <w:szCs w:val="20"/>
          <w:lang w:val="pt-BR"/>
        </w:rPr>
      </w:pPr>
    </w:p>
    <w:p w14:paraId="797EC08A"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16.4. </w:t>
      </w:r>
      <w:r w:rsidRPr="00A67C91">
        <w:rPr>
          <w:rFonts w:cs="Arial"/>
          <w:b/>
          <w:color w:val="auto"/>
          <w:szCs w:val="20"/>
          <w:u w:val="single"/>
          <w:lang w:val="pt-BR"/>
        </w:rPr>
        <w:t>Renúncia</w:t>
      </w:r>
      <w:r w:rsidRPr="00A67C91">
        <w:rPr>
          <w:rFonts w:cs="Arial"/>
          <w:color w:val="auto"/>
          <w:szCs w:val="20"/>
          <w:lang w:val="pt-BR"/>
        </w:rPr>
        <w:t xml:space="preserve">. Nenhum direito de qualquer das partes será renunciado, exceto por notificação por escrito e assinada pela parte que o renuncia. A não observância ou qualquer tolerância ou atraso exercido por uma das partes em relação ao descumprimento de qualquer dispositivo deste Contrato não será interpretada como uma renúncia contínua ou novação dos direitos dessa parte nos termos do Contrato. </w:t>
      </w:r>
    </w:p>
    <w:p w14:paraId="0EAD5576" w14:textId="77777777" w:rsidR="00A67C91" w:rsidRPr="00A67C91" w:rsidRDefault="00A67C91" w:rsidP="00A67C91">
      <w:pPr>
        <w:ind w:left="567" w:hanging="387"/>
        <w:jc w:val="both"/>
        <w:rPr>
          <w:rFonts w:cs="Arial"/>
          <w:color w:val="auto"/>
          <w:szCs w:val="20"/>
          <w:lang w:val="pt-BR"/>
        </w:rPr>
      </w:pPr>
    </w:p>
    <w:p w14:paraId="2AB455ED"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16.5. </w:t>
      </w:r>
      <w:r w:rsidRPr="00A67C91">
        <w:rPr>
          <w:rFonts w:cs="Arial"/>
          <w:b/>
          <w:color w:val="auto"/>
          <w:szCs w:val="20"/>
          <w:u w:val="single"/>
          <w:lang w:val="pt-BR"/>
        </w:rPr>
        <w:t>Terceiros Beneficiários</w:t>
      </w:r>
      <w:r w:rsidRPr="00A67C91">
        <w:rPr>
          <w:rFonts w:cs="Arial"/>
          <w:color w:val="auto"/>
          <w:szCs w:val="20"/>
          <w:lang w:val="pt-BR"/>
        </w:rPr>
        <w:t xml:space="preserve">. A menos que especificamente designado no Pedido, as partes não conferem quaisquer direitos ou recursos a qualquer pessoa que não seja as partes deste </w:t>
      </w:r>
      <w:r w:rsidRPr="00A67C91">
        <w:rPr>
          <w:rFonts w:cs="Arial"/>
          <w:color w:val="auto"/>
          <w:szCs w:val="20"/>
          <w:lang w:val="pt-BR"/>
        </w:rPr>
        <w:lastRenderedPageBreak/>
        <w:t>Contrato ou Pedido e seus respectivos sucessores e cessionários autorizados. Não obstante o acima exposto, a Hexagon Mining Inc. é um terceiro beneficiário presumido deste Contrato com plenos direitos para fazer cumprir qualquer ou todos os termos deste Contrato. Não há outros terceiros beneficiários deste Contrato.</w:t>
      </w:r>
    </w:p>
    <w:p w14:paraId="63513891" w14:textId="77777777" w:rsidR="00A67C91" w:rsidRPr="00A67C91" w:rsidRDefault="00A67C91" w:rsidP="00A67C91">
      <w:pPr>
        <w:ind w:left="567" w:hanging="387"/>
        <w:jc w:val="both"/>
        <w:rPr>
          <w:rFonts w:cs="Arial"/>
          <w:color w:val="auto"/>
          <w:szCs w:val="20"/>
          <w:lang w:val="pt-BR"/>
        </w:rPr>
      </w:pPr>
    </w:p>
    <w:p w14:paraId="3DF3F9DA"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16.6. </w:t>
      </w:r>
      <w:r w:rsidRPr="00A67C91">
        <w:rPr>
          <w:rFonts w:cs="Arial"/>
          <w:b/>
          <w:color w:val="auto"/>
          <w:szCs w:val="20"/>
          <w:u w:val="single"/>
          <w:lang w:val="pt-BR"/>
        </w:rPr>
        <w:t>Cessão/Subcontratação</w:t>
      </w:r>
      <w:r w:rsidRPr="00A67C91">
        <w:rPr>
          <w:rFonts w:cs="Arial"/>
          <w:color w:val="auto"/>
          <w:szCs w:val="20"/>
          <w:lang w:val="pt-BR"/>
        </w:rPr>
        <w:t>. Nenhuma das partes cederá ou subcontratará quaisquer obrigações ou direitos nos termos do Contrato sem o consentimento prévio por escrito da outra parte, de maneira que tal consentimento não deve ser negado injustificadamente. Qualquer cessão ou subcontratação que viole esta disposição será nula. Não obstante qualquer disposição em contrário, qualquer uma das partes poderá ceder seus direitos e obrigações nos termos do Contrato a qualquer afiliada ou controladora. Uma notificação por escrito de tal cessão será fornecida à outra parte em prazo razoável.</w:t>
      </w:r>
    </w:p>
    <w:p w14:paraId="53C4FE9B" w14:textId="77777777" w:rsidR="00A67C91" w:rsidRPr="00A67C91" w:rsidRDefault="00A67C91" w:rsidP="00A67C91">
      <w:pPr>
        <w:ind w:left="567" w:hanging="387"/>
        <w:jc w:val="both"/>
        <w:rPr>
          <w:rFonts w:cs="Arial"/>
          <w:color w:val="auto"/>
          <w:szCs w:val="20"/>
          <w:lang w:val="pt-BR"/>
        </w:rPr>
      </w:pPr>
    </w:p>
    <w:p w14:paraId="4768550D"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16.7. </w:t>
      </w:r>
      <w:r w:rsidRPr="00A67C91">
        <w:rPr>
          <w:rFonts w:cs="Arial"/>
          <w:b/>
          <w:color w:val="auto"/>
          <w:szCs w:val="20"/>
          <w:u w:val="single"/>
          <w:lang w:val="pt-BR"/>
        </w:rPr>
        <w:t>Seguros</w:t>
      </w:r>
      <w:r w:rsidRPr="00A67C91">
        <w:rPr>
          <w:rFonts w:cs="Arial"/>
          <w:color w:val="auto"/>
          <w:szCs w:val="20"/>
          <w:lang w:val="pt-BR"/>
        </w:rPr>
        <w:t>. Ambas as partes manterão em vigor a todo tempo a cobertura de seguro apropriada consistente com o tipo de fornecimento e as disposições estabelecidas neste Contrato, bem como com os padrões de mercado junto a uma seguradora idônea, incluindo, conforme o caso, pagamento de salários, seguro de viagens, responsabilidade civil geral, cobertura de responsabilidade civil geral e profissional. Mediante solicitação, o Cliente fornecerá à Hexagon um comprovante desse seguro que constitui a Hexagon como beneficiária de sua apólice.</w:t>
      </w:r>
    </w:p>
    <w:p w14:paraId="0893BE46" w14:textId="77777777" w:rsidR="00A67C91" w:rsidRPr="00A67C91" w:rsidRDefault="00A67C91" w:rsidP="00A67C91">
      <w:pPr>
        <w:ind w:left="567" w:hanging="387"/>
        <w:jc w:val="both"/>
        <w:rPr>
          <w:rFonts w:cs="Arial"/>
          <w:color w:val="auto"/>
          <w:szCs w:val="20"/>
          <w:lang w:val="pt-BR"/>
        </w:rPr>
      </w:pPr>
    </w:p>
    <w:p w14:paraId="26F74226"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16.8. </w:t>
      </w:r>
      <w:r w:rsidRPr="00A67C91">
        <w:rPr>
          <w:rFonts w:cs="Arial"/>
          <w:b/>
          <w:color w:val="auto"/>
          <w:szCs w:val="20"/>
          <w:u w:val="single"/>
          <w:lang w:val="pt-BR"/>
        </w:rPr>
        <w:t>Idioma</w:t>
      </w:r>
      <w:r w:rsidRPr="00A67C91">
        <w:rPr>
          <w:rFonts w:cs="Arial"/>
          <w:color w:val="auto"/>
          <w:szCs w:val="20"/>
          <w:lang w:val="pt-BR"/>
        </w:rPr>
        <w:t xml:space="preserve">. Caso este Contrato ou qualquer parte dele seja traduzido ou disponibilizado em qualquer outro idioma, a versão em inglês prevalecerá em todos os aspectos, exceto onde a lei local aplicável determine o contrário. </w:t>
      </w:r>
    </w:p>
    <w:p w14:paraId="76B1608D" w14:textId="77777777" w:rsidR="00A67C91" w:rsidRPr="00A67C91" w:rsidRDefault="00A67C91" w:rsidP="00A67C91">
      <w:pPr>
        <w:ind w:left="567" w:hanging="387"/>
        <w:jc w:val="both"/>
        <w:rPr>
          <w:rFonts w:cs="Arial"/>
          <w:color w:val="auto"/>
          <w:szCs w:val="20"/>
          <w:lang w:val="pt-BR"/>
        </w:rPr>
      </w:pPr>
    </w:p>
    <w:p w14:paraId="0DD1FCA2"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16.9. </w:t>
      </w:r>
      <w:r w:rsidRPr="00A67C91">
        <w:rPr>
          <w:rFonts w:cs="Arial"/>
          <w:b/>
          <w:color w:val="auto"/>
          <w:szCs w:val="20"/>
          <w:u w:val="single"/>
          <w:lang w:val="pt-BR"/>
        </w:rPr>
        <w:t>Não Recrutamento</w:t>
      </w:r>
      <w:r w:rsidRPr="00A67C91">
        <w:rPr>
          <w:rFonts w:cs="Arial"/>
          <w:color w:val="auto"/>
          <w:szCs w:val="20"/>
          <w:lang w:val="pt-BR"/>
        </w:rPr>
        <w:t xml:space="preserve">. Durante a vigência deste Contrato e por um período de um ano a partir de então, o Cliente concorda que não irá, sem o consentimento prévio por escrito da Hexagon, direta ou indiretamente empregar, recrutar, contratar ou reter os serviços do pessoal da Hexagon. Se o Cliente violar esta cláusula, ficará sujeito a pagar à Hexagon um valor igual a trinta por cento (30%) da remuneração base anual do funcionário em questão em seu novo cargo, sem prejuízo de poder a Hexagon buscar medidas cautelares ou outras reparações legais. Esta disposição não restringirá o direito do Cliente de contratar ou recrutar profissionais de forma geral no mercado de trabalho. </w:t>
      </w:r>
    </w:p>
    <w:p w14:paraId="4BD58C9F" w14:textId="77777777" w:rsidR="00A67C91" w:rsidRPr="00A67C91" w:rsidRDefault="00A67C91" w:rsidP="00A67C91">
      <w:pPr>
        <w:ind w:left="567" w:hanging="387"/>
        <w:jc w:val="both"/>
        <w:rPr>
          <w:rFonts w:cs="Arial"/>
          <w:color w:val="auto"/>
          <w:szCs w:val="20"/>
          <w:lang w:val="pt-BR"/>
        </w:rPr>
      </w:pPr>
    </w:p>
    <w:p w14:paraId="5A808B53"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16.10. </w:t>
      </w:r>
      <w:r w:rsidRPr="00A67C91">
        <w:rPr>
          <w:rFonts w:cs="Arial"/>
          <w:b/>
          <w:color w:val="auto"/>
          <w:szCs w:val="20"/>
          <w:u w:val="single"/>
          <w:lang w:val="pt-BR"/>
        </w:rPr>
        <w:t>Subsistência</w:t>
      </w:r>
      <w:r w:rsidRPr="00A67C91">
        <w:rPr>
          <w:rFonts w:cs="Arial"/>
          <w:color w:val="auto"/>
          <w:szCs w:val="20"/>
          <w:lang w:val="pt-BR"/>
        </w:rPr>
        <w:t xml:space="preserve">. Todas as cláusulas que, por sua natureza, deverão subsistir à execução deste Contrato, continuarão válidas após a execução, resolução ou rescisão do Contrato/Pedido. As partes concordam especificamente que as obrigações contratuais relativas à responsabilidade, indenização, garantias, controle de exportação e proteção de direitos de PI e IC permanecem vigentes por prazo indeterminado. </w:t>
      </w:r>
    </w:p>
    <w:p w14:paraId="106DC7A5" w14:textId="77777777" w:rsidR="00A67C91" w:rsidRPr="00A67C91" w:rsidRDefault="00A67C91" w:rsidP="00A67C91">
      <w:pPr>
        <w:ind w:left="567" w:hanging="387"/>
        <w:jc w:val="both"/>
        <w:rPr>
          <w:rFonts w:cs="Arial"/>
          <w:color w:val="auto"/>
          <w:szCs w:val="20"/>
          <w:lang w:val="pt-BR"/>
        </w:rPr>
      </w:pPr>
    </w:p>
    <w:p w14:paraId="5E90CC46"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16.11. </w:t>
      </w:r>
      <w:r w:rsidRPr="00A67C91">
        <w:rPr>
          <w:rFonts w:cs="Arial"/>
          <w:b/>
          <w:color w:val="auto"/>
          <w:szCs w:val="20"/>
          <w:u w:val="single"/>
          <w:lang w:val="pt-BR"/>
        </w:rPr>
        <w:t>Notificações</w:t>
      </w:r>
      <w:r w:rsidRPr="00A67C91">
        <w:rPr>
          <w:rFonts w:cs="Arial"/>
          <w:color w:val="auto"/>
          <w:szCs w:val="20"/>
          <w:lang w:val="pt-BR"/>
        </w:rPr>
        <w:t xml:space="preserve">. As notificações relativas a este Contrato / Pedido podem ser entregues em mãos, por correio nos endereços das partes especificados no Pedido, ou por e-mail aos seus representantes e, no caso da Hexagon, com cópia (Cc) enviada para </w:t>
      </w:r>
      <w:hyperlink r:id="rId10" w:history="1">
        <w:r>
          <w:rPr>
            <w:rStyle w:val="Hyperlink"/>
            <w:rFonts w:cs="Arial"/>
            <w:szCs w:val="20"/>
            <w:lang w:val="pt-BR"/>
          </w:rPr>
          <w:t>legal.min@hexagonmining.com</w:t>
        </w:r>
      </w:hyperlink>
      <w:r>
        <w:rPr>
          <w:rFonts w:cs="Arial"/>
          <w:szCs w:val="20"/>
          <w:lang w:val="pt-BR"/>
        </w:rPr>
        <w:t xml:space="preserve">. </w:t>
      </w:r>
      <w:r w:rsidRPr="00A67C91">
        <w:rPr>
          <w:rFonts w:cs="Arial"/>
          <w:color w:val="auto"/>
          <w:szCs w:val="20"/>
          <w:lang w:val="pt-BR"/>
        </w:rPr>
        <w:t>A notificação será considerada como recebida, no caso de entrega em mãos, no ato da entrega, e no caso de correio, no prazo de três (3) dias após o despacho na agência dos correios locais por carta registrada, postagem pré-paga e com aviso de recebimento (AR), e, no caso de e-mail, quando o destinatário confirmar ter recebido o e-mail (com um “recibo de leitura” que constitui a confirmação de um e-mail para os fins desta cláusula).</w:t>
      </w:r>
    </w:p>
    <w:p w14:paraId="73F97045" w14:textId="77777777" w:rsidR="00A67C91" w:rsidRPr="00A67C91" w:rsidRDefault="00A67C91" w:rsidP="00A67C91">
      <w:pPr>
        <w:ind w:left="567" w:hanging="387"/>
        <w:jc w:val="both"/>
        <w:rPr>
          <w:rFonts w:cs="Arial"/>
          <w:color w:val="auto"/>
          <w:szCs w:val="20"/>
          <w:lang w:val="pt-BR"/>
        </w:rPr>
      </w:pPr>
    </w:p>
    <w:p w14:paraId="4354F4E9"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16.12. </w:t>
      </w:r>
      <w:r w:rsidRPr="00A67C91">
        <w:rPr>
          <w:rFonts w:cs="Arial"/>
          <w:b/>
          <w:color w:val="auto"/>
          <w:szCs w:val="20"/>
          <w:u w:val="single"/>
          <w:lang w:val="pt-BR"/>
        </w:rPr>
        <w:t>Títulos</w:t>
      </w:r>
      <w:r w:rsidRPr="00A67C91">
        <w:rPr>
          <w:rFonts w:cs="Arial"/>
          <w:color w:val="auto"/>
          <w:szCs w:val="20"/>
          <w:lang w:val="pt-BR"/>
        </w:rPr>
        <w:t>. Os títulos e subtítulos das seções são meramente ilustrativos e não definem, limitam ou descrevem o teor ou a intenção de qualquer disposição deste Contrato.</w:t>
      </w:r>
    </w:p>
    <w:p w14:paraId="2D447393" w14:textId="77777777" w:rsidR="00A67C91" w:rsidRPr="00A67C91" w:rsidRDefault="00A67C91" w:rsidP="00A67C91">
      <w:pPr>
        <w:ind w:left="567" w:hanging="387"/>
        <w:jc w:val="both"/>
        <w:rPr>
          <w:rFonts w:cs="Arial"/>
          <w:color w:val="auto"/>
          <w:szCs w:val="20"/>
          <w:lang w:val="pt-BR"/>
        </w:rPr>
      </w:pPr>
    </w:p>
    <w:p w14:paraId="36129B94"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16.13. </w:t>
      </w:r>
      <w:r w:rsidRPr="00A67C91">
        <w:rPr>
          <w:rFonts w:cs="Arial"/>
          <w:b/>
          <w:bCs/>
          <w:color w:val="auto"/>
          <w:szCs w:val="20"/>
          <w:u w:val="single"/>
          <w:lang w:val="pt-BR"/>
        </w:rPr>
        <w:t>Vínculo entre as Partes</w:t>
      </w:r>
      <w:r w:rsidRPr="00A67C91">
        <w:rPr>
          <w:rFonts w:cs="Arial"/>
          <w:color w:val="auto"/>
          <w:szCs w:val="20"/>
          <w:lang w:val="pt-BR"/>
        </w:rPr>
        <w:t xml:space="preserve">. Cada Parte deverá sempre ser autônoma da outra, e nada previsto neste Contrato deve ser interpretado como sendo a formação de uma relação de parceria, de equipe, joint venture, de representação, agência ou relação empregatícia entre as Partes ou entre qualquer Parte e os respectivos funcionários ou subcontratados da outra Parte. Nenhuma das Partes, em nenhum momento, se considerará empregada da outra, nem terá direito a </w:t>
      </w:r>
      <w:r w:rsidRPr="00A67C91">
        <w:rPr>
          <w:rFonts w:cs="Arial"/>
          <w:color w:val="auto"/>
          <w:szCs w:val="20"/>
          <w:lang w:val="pt-BR"/>
        </w:rPr>
        <w:lastRenderedPageBreak/>
        <w:t>qualquer dos benefícios fornecidos pela outra Parte a seus empregados e colaboradores registrados ou não.</w:t>
      </w:r>
    </w:p>
    <w:p w14:paraId="02E75A0E" w14:textId="77777777" w:rsidR="00A67C91" w:rsidRPr="00A67C91" w:rsidRDefault="00A67C91" w:rsidP="00A67C91">
      <w:pPr>
        <w:ind w:left="567" w:hanging="387"/>
        <w:jc w:val="both"/>
        <w:rPr>
          <w:rFonts w:cs="Arial"/>
          <w:color w:val="auto"/>
          <w:szCs w:val="20"/>
          <w:lang w:val="pt-BR"/>
        </w:rPr>
      </w:pPr>
    </w:p>
    <w:p w14:paraId="00768409"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16.14. </w:t>
      </w:r>
      <w:r w:rsidRPr="00A67C91">
        <w:rPr>
          <w:rFonts w:cs="Arial"/>
          <w:b/>
          <w:color w:val="auto"/>
          <w:szCs w:val="20"/>
          <w:u w:val="single"/>
          <w:lang w:val="pt-BR"/>
        </w:rPr>
        <w:t>Publicidade</w:t>
      </w:r>
      <w:r w:rsidRPr="00A67C91">
        <w:rPr>
          <w:rFonts w:cs="Arial"/>
          <w:color w:val="auto"/>
          <w:szCs w:val="20"/>
          <w:lang w:val="pt-BR"/>
        </w:rPr>
        <w:t>. A Hexagon poderá identificar o Cliente como um cliente da Hexagon em seus materiais de marketing e em suas listas de clientes.</w:t>
      </w:r>
    </w:p>
    <w:p w14:paraId="5DB4028B" w14:textId="77777777" w:rsidR="00A67C91" w:rsidRPr="00A67C91" w:rsidRDefault="00A67C91" w:rsidP="00A67C91">
      <w:pPr>
        <w:ind w:left="567" w:hanging="387"/>
        <w:jc w:val="both"/>
        <w:rPr>
          <w:rFonts w:cs="Arial"/>
          <w:color w:val="auto"/>
          <w:szCs w:val="20"/>
          <w:lang w:val="pt-BR"/>
        </w:rPr>
      </w:pPr>
    </w:p>
    <w:p w14:paraId="5DD284F3"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16.15. </w:t>
      </w:r>
      <w:r w:rsidRPr="00A67C91">
        <w:rPr>
          <w:rFonts w:cs="Arial"/>
          <w:b/>
          <w:color w:val="auto"/>
          <w:szCs w:val="20"/>
          <w:u w:val="single"/>
          <w:lang w:val="pt-BR"/>
        </w:rPr>
        <w:t>Estatísticas de Uso e Dados do Cliente</w:t>
      </w:r>
      <w:r w:rsidRPr="00A67C91">
        <w:rPr>
          <w:rFonts w:cs="Arial"/>
          <w:color w:val="auto"/>
          <w:szCs w:val="20"/>
          <w:lang w:val="pt-BR"/>
        </w:rPr>
        <w:t xml:space="preserve">. Para aprimorar seus Produtos, a Hexagon poderá coletar estatísticas de uso anônimas e dados relativos ao uso dos Produtos por seus clientes. Ao usar os Produtos, o Cliente consente em permitir a coleta de estatísticas e dados de uso anônimos. Se o Cliente não autorizar a coleta de dados, o Cliente não deverá acessar ou usar os Produtos. </w:t>
      </w:r>
    </w:p>
    <w:p w14:paraId="7043520A" w14:textId="77777777" w:rsidR="00A67C91" w:rsidRPr="00A67C91" w:rsidRDefault="00A67C91" w:rsidP="00A67C91">
      <w:pPr>
        <w:ind w:left="567" w:hanging="387"/>
        <w:jc w:val="both"/>
        <w:rPr>
          <w:rFonts w:cs="Arial"/>
          <w:color w:val="auto"/>
          <w:szCs w:val="20"/>
          <w:lang w:val="pt-BR"/>
        </w:rPr>
      </w:pPr>
    </w:p>
    <w:p w14:paraId="61AF3BD2"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16.16 </w:t>
      </w:r>
      <w:r w:rsidRPr="00A67C91">
        <w:rPr>
          <w:rFonts w:cs="Arial"/>
          <w:b/>
          <w:color w:val="auto"/>
          <w:szCs w:val="20"/>
          <w:u w:val="single"/>
          <w:lang w:val="pt-BR"/>
        </w:rPr>
        <w:t>Privacidade e Proteção de Dados</w:t>
      </w:r>
      <w:r w:rsidRPr="00A67C91">
        <w:rPr>
          <w:rFonts w:cs="Arial"/>
          <w:color w:val="auto"/>
          <w:szCs w:val="20"/>
          <w:lang w:val="pt-BR"/>
        </w:rPr>
        <w:t>. Cada Parte garantirá individualmente à outra Parte que cumpriu a Lei Geral de Proteção de Dados vigente ao obter quaisquer Informações Pessoais por ela divulgadas de acordo com este Contrato.</w:t>
      </w:r>
    </w:p>
    <w:p w14:paraId="1A96E09A" w14:textId="77777777" w:rsidR="00A67C91" w:rsidRPr="00A67C91" w:rsidRDefault="00A67C91" w:rsidP="00A67C91">
      <w:pPr>
        <w:ind w:left="567" w:hanging="387"/>
        <w:jc w:val="both"/>
        <w:rPr>
          <w:rFonts w:cs="Arial"/>
          <w:color w:val="auto"/>
          <w:szCs w:val="20"/>
          <w:lang w:val="pt-BR"/>
        </w:rPr>
      </w:pPr>
    </w:p>
    <w:p w14:paraId="29332A58"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16.17. </w:t>
      </w:r>
      <w:r w:rsidRPr="00A67C91">
        <w:rPr>
          <w:rFonts w:cs="Arial"/>
          <w:b/>
          <w:color w:val="auto"/>
          <w:szCs w:val="20"/>
          <w:u w:val="single"/>
          <w:lang w:val="pt-BR"/>
        </w:rPr>
        <w:t>Recuperação de Dados no Encerramento do Contrato</w:t>
      </w:r>
      <w:r w:rsidRPr="00A67C91">
        <w:rPr>
          <w:rFonts w:cs="Arial"/>
          <w:color w:val="auto"/>
          <w:szCs w:val="20"/>
          <w:lang w:val="pt-BR"/>
        </w:rPr>
        <w:t>. O Cliente terá o prazo de trinta (30) dias após a rescisão ou término do Contrato / Pedido para notificar a Hexagon por escrito de a respeito de quaisquer dados eletrônicos dos Produtos que o Cliente tenha solicitado à Hexagon. Após o prazo de trinta (30) dias, a Hexagon reserva-se o direito de excluir permanentemente todos e quaisquer dados associados ao Cliente. Quaisquer dados solicitados pelo Cliente após o prazo de trinta (30) dias serão fornecidos apenas mediante pagamento de tarifas específicas.</w:t>
      </w:r>
    </w:p>
    <w:p w14:paraId="2AEC46DD" w14:textId="77777777" w:rsidR="00A67C91" w:rsidRPr="00A67C91" w:rsidRDefault="00A67C91" w:rsidP="00A67C91">
      <w:pPr>
        <w:ind w:left="567" w:hanging="387"/>
        <w:jc w:val="both"/>
        <w:rPr>
          <w:rFonts w:cs="Arial"/>
          <w:color w:val="auto"/>
          <w:szCs w:val="20"/>
          <w:lang w:val="pt-BR"/>
        </w:rPr>
      </w:pPr>
    </w:p>
    <w:p w14:paraId="45675E68"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16.18. </w:t>
      </w:r>
      <w:r w:rsidRPr="00A67C91">
        <w:rPr>
          <w:rFonts w:cs="Arial"/>
          <w:b/>
          <w:color w:val="auto"/>
          <w:szCs w:val="20"/>
          <w:u w:val="single"/>
          <w:lang w:val="pt-BR"/>
        </w:rPr>
        <w:t>Conformidade com as Leis Anticorrupção</w:t>
      </w:r>
      <w:r w:rsidRPr="00A67C91">
        <w:rPr>
          <w:rFonts w:cs="Arial"/>
          <w:color w:val="auto"/>
          <w:szCs w:val="20"/>
          <w:lang w:val="pt-BR"/>
        </w:rPr>
        <w:t>. A Hexagon e o Cliente concordam que sempre cumprirão todos os requisitos legais relacionados à prática antissuborno, anticorrupção e lavagem de dinheiro (e não deverão praticar nenhum ato, ou omitir a prática de qualquer ato, que permita que a outra parte viole quaisquer desses requisitos legais). Além do disposto anteriormente, a Hexagon: (a) garante que nem ela, nem qualquer uma de suas afiliadas, subsidiárias, representantes, diretores, agentes, funcionários ou contratados, foi condenado por qualquer delito e não foi objeto de qualquer investigação ou procedimentos de execução por qualquer órgão governamental, administrativo ou regulador em relação a qualquer delito ou suposto delito, de acordo com os termos de quaisquer leis, normas e regulamentos aplicáveis relacionados à prática antissuborno, anticorrupção e antilavagem de dinheiro; e (b) notificará o Cliente imediatamente ao tomar conhecimento de qualquer violação (ou suspeita de violação) das condições previstas neste item.</w:t>
      </w:r>
    </w:p>
    <w:p w14:paraId="299D989E" w14:textId="77777777" w:rsidR="00A67C91" w:rsidRPr="00A67C91" w:rsidRDefault="00A67C91" w:rsidP="00A67C91">
      <w:pPr>
        <w:ind w:left="567" w:hanging="387"/>
        <w:jc w:val="both"/>
        <w:rPr>
          <w:rFonts w:cs="Arial"/>
          <w:color w:val="auto"/>
          <w:szCs w:val="20"/>
          <w:lang w:val="pt-BR"/>
        </w:rPr>
      </w:pPr>
    </w:p>
    <w:p w14:paraId="1DF4C143"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16.19. </w:t>
      </w:r>
      <w:r w:rsidRPr="00A67C91">
        <w:rPr>
          <w:rFonts w:cs="Arial"/>
          <w:b/>
          <w:color w:val="auto"/>
          <w:szCs w:val="20"/>
          <w:u w:val="single"/>
          <w:lang w:val="pt-BR"/>
        </w:rPr>
        <w:t>Restrições de Exportação</w:t>
      </w:r>
      <w:r w:rsidRPr="00A67C91">
        <w:rPr>
          <w:rFonts w:cs="Arial"/>
          <w:color w:val="auto"/>
          <w:szCs w:val="20"/>
          <w:lang w:val="pt-BR"/>
        </w:rPr>
        <w:t>. Os Produtos podem estar sujeitos aos regulamentos, pedidos ou outras restrições dos Estados Unidos ("</w:t>
      </w:r>
      <w:r w:rsidRPr="00A67C91">
        <w:rPr>
          <w:rFonts w:cs="Arial"/>
          <w:b/>
          <w:bCs/>
          <w:color w:val="auto"/>
          <w:szCs w:val="20"/>
          <w:lang w:val="pt-BR"/>
        </w:rPr>
        <w:t>EUA</w:t>
      </w:r>
      <w:r w:rsidRPr="00A67C91">
        <w:rPr>
          <w:rFonts w:cs="Arial"/>
          <w:color w:val="auto"/>
          <w:szCs w:val="20"/>
          <w:lang w:val="pt-BR"/>
        </w:rPr>
        <w:t>"), bem como aos regulamentos, pedidos e restrições aplicáveis ​​ao país onde a entidade Hexagon correspondente esteja localizada em relação à exportação de Software, Hardware, Serviços, dados técnicos ou seus derivados. Não obstante qualquer disposição em contrário neste Contrato, o Cliente não deverá direta ou indiretamente exportar (ou reexportar) os Produtos da Hexagon ou quaisquer de seus derivados, ou permitir o transbordo dos mesmos, (i) em violação a este Contrato, ou (ii) para Afeganistão, Cuba, Irã, Coréia do Norte, Sudão, Síria, Venezuela (ou para um cidadão ou residente desses países) ou qualquer outro país sujeito às sanções econômicas dos EUA ou outros controles comerciais; ou (iii) para qualquer pessoa que aparece na lista do Departamento do Tesouro dos EUA de Nacionais Especialmente Designados e Pessoas Bloqueadas, Lista de Terroristas Especialmente Designados ou Lista de Traficantes de Narcóticos Especialmente Designados ou Tabela de Pedidos Negados do Departamento de Comércio dos EUA, Lista de Pessoas Negadas, Lista de Partes Não Verificadas, Lista de Entidades, ou a lista do Departamento de Estado dos EUA de Partes Excluídas, ou (iv) para qualquer país ou destino para o qual o governo dos EUA ou agência governamental dos EUA exija uma licença de exportação ou outra aprovação de exportação sem primeiro ter obtido tal licença ou outra aprovação aceitável. No caso do item (iv), a Hexagon fornecerá um número de controle de exportação para produtos Hexagon mediante solicitação. O Cliente reconhece e concorda que os itens (i) - (iv) podem mudar de tempos em tempos, e o Cliente garantirá o cumprimento das leis vigentes.</w:t>
      </w:r>
    </w:p>
    <w:p w14:paraId="51A6F557" w14:textId="77777777" w:rsidR="00A67C91" w:rsidRPr="00A67C91" w:rsidRDefault="00A67C91" w:rsidP="00A67C91">
      <w:pPr>
        <w:ind w:left="567" w:hanging="387"/>
        <w:jc w:val="both"/>
        <w:rPr>
          <w:rFonts w:cs="Arial"/>
          <w:color w:val="auto"/>
          <w:szCs w:val="20"/>
          <w:lang w:val="pt-BR"/>
        </w:rPr>
      </w:pPr>
    </w:p>
    <w:p w14:paraId="0D1EE7D2"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lastRenderedPageBreak/>
        <w:t xml:space="preserve">16.20. </w:t>
      </w:r>
      <w:r w:rsidRPr="00A67C91">
        <w:rPr>
          <w:rFonts w:cs="Arial"/>
          <w:b/>
          <w:color w:val="auto"/>
          <w:szCs w:val="20"/>
          <w:u w:val="single"/>
          <w:lang w:val="pt-BR"/>
        </w:rPr>
        <w:t>Vias</w:t>
      </w:r>
      <w:r w:rsidRPr="00A67C91">
        <w:rPr>
          <w:rFonts w:cs="Arial"/>
          <w:color w:val="auto"/>
          <w:szCs w:val="20"/>
          <w:lang w:val="pt-BR"/>
        </w:rPr>
        <w:t xml:space="preserve">. Este Contrato pode ser assinado em uma ou mais vias, cada uma das quais será considerada um original, e todas as quais tomadas em conjunto serão consideradas um único e mesmo instrumento. Uma cópia deste Contrato assinada por qualquer parte e transmitida por fax ou, na medida do permitido pela lei aplicável, assinada por assinaturas digitais, será vinculante às partes como um original, assinado e entregue pessoalmente. </w:t>
      </w:r>
    </w:p>
    <w:p w14:paraId="75B01543" w14:textId="77777777" w:rsidR="00A67C91" w:rsidRPr="00A67C91" w:rsidRDefault="00A67C91" w:rsidP="00A67C91">
      <w:pPr>
        <w:ind w:left="567" w:hanging="387"/>
        <w:jc w:val="both"/>
        <w:rPr>
          <w:rFonts w:cs="Arial"/>
          <w:color w:val="auto"/>
          <w:szCs w:val="20"/>
          <w:lang w:val="pt-BR"/>
        </w:rPr>
      </w:pPr>
    </w:p>
    <w:p w14:paraId="7F2CB175"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16.21. </w:t>
      </w:r>
      <w:r w:rsidRPr="00A67C91">
        <w:rPr>
          <w:rFonts w:cs="Arial"/>
          <w:b/>
          <w:color w:val="auto"/>
          <w:szCs w:val="20"/>
          <w:u w:val="single"/>
          <w:lang w:val="pt-BR"/>
        </w:rPr>
        <w:t>Ordem de Prevalência</w:t>
      </w:r>
      <w:r w:rsidRPr="00A67C91">
        <w:rPr>
          <w:rFonts w:cs="Arial"/>
          <w:color w:val="auto"/>
          <w:szCs w:val="20"/>
          <w:lang w:val="pt-BR"/>
        </w:rPr>
        <w:t xml:space="preserve">. No caso de qualquer inconsistência ou discrepância, a seguinte ordem de precedência prevalecerá: (i) Proposta/Cotação da Hexagon; (ii) estes Termos e Condições Gerais; (iii) as Condições Especiais (Anexos) e (iv) o(s) Pedido(s) / Ordem(ns) de Compra emitido(s) pelo Cliente. </w:t>
      </w:r>
    </w:p>
    <w:p w14:paraId="70A0DB19" w14:textId="77777777" w:rsidR="00A67C91" w:rsidRPr="00A67C91" w:rsidRDefault="00A67C91" w:rsidP="00A67C91">
      <w:pPr>
        <w:ind w:left="567" w:hanging="387"/>
        <w:jc w:val="both"/>
        <w:rPr>
          <w:rFonts w:cs="Arial"/>
          <w:color w:val="auto"/>
          <w:szCs w:val="20"/>
          <w:lang w:val="pt-BR"/>
        </w:rPr>
      </w:pPr>
    </w:p>
    <w:p w14:paraId="66024930" w14:textId="77777777" w:rsidR="00A67C91" w:rsidRPr="00A67C91" w:rsidRDefault="00A67C91" w:rsidP="00A67C91">
      <w:pPr>
        <w:ind w:left="567" w:hanging="387"/>
        <w:jc w:val="both"/>
        <w:rPr>
          <w:rFonts w:cs="Arial"/>
          <w:color w:val="auto"/>
          <w:szCs w:val="20"/>
          <w:lang w:val="pt-BR"/>
        </w:rPr>
      </w:pPr>
      <w:r w:rsidRPr="00A67C91">
        <w:rPr>
          <w:rFonts w:cs="Arial"/>
          <w:color w:val="auto"/>
          <w:szCs w:val="20"/>
          <w:lang w:val="pt-BR"/>
        </w:rPr>
        <w:t xml:space="preserve">16.22. </w:t>
      </w:r>
      <w:r w:rsidRPr="00A67C91">
        <w:rPr>
          <w:rFonts w:cs="Arial"/>
          <w:b/>
          <w:color w:val="auto"/>
          <w:szCs w:val="20"/>
          <w:u w:val="single"/>
          <w:lang w:val="pt-BR"/>
        </w:rPr>
        <w:t>Formação do Contrato</w:t>
      </w:r>
      <w:r w:rsidRPr="00A67C91">
        <w:rPr>
          <w:rFonts w:cs="Arial"/>
          <w:color w:val="auto"/>
          <w:szCs w:val="20"/>
          <w:lang w:val="pt-BR"/>
        </w:rPr>
        <w:t>. Estes termos e condições (juntamente com qualquer Proposta ou Cotação) se aplicam ao Contrato celebrado com o Cliente, seja como uma oferta, ou como uma aceitação de uma oferta), e prevalecerão, em caso de qualquer conflito entre eles e os termos apresentados pelo Cliente. Quaisquer termos e condições propostos, publicados ou enviados pelo Cliente à Hexagon ou de outra forma referidos em qualquer documento ou material fornecido pelo Cliente à Hexagon (incluindo quaisquer termos e condições publicados em qualquer site ou contidos em qualquer processo de pedido online, seja ou não reconhecidos pela Hexagon) não fazem parte (e estão expressamente excluídos) deste Contrato. Se o Cliente fornecer, referir-se, enviar ou de outra forma usar termos e condições diferentes daqueles aqui incluídos (incluindo como parte da apresentação de uma ordem ou pedido de compra), tais termos e condições não farão parte ou serão incorporados a este Contrato.</w:t>
      </w:r>
    </w:p>
    <w:p w14:paraId="2FDBA89B" w14:textId="77777777" w:rsidR="00A2584F" w:rsidRPr="00EB0EBC" w:rsidRDefault="00A2584F" w:rsidP="00A2584F">
      <w:pPr>
        <w:pStyle w:val="Subtitle"/>
        <w:rPr>
          <w:color w:val="auto"/>
        </w:rPr>
      </w:pPr>
    </w:p>
    <w:tbl>
      <w:tblPr>
        <w:tblStyle w:val="TableGrid"/>
        <w:tblpPr w:horzAnchor="margin" w:tblpYSpec="bottom"/>
        <w:tblOverlap w:val="never"/>
        <w:tblW w:w="0" w:type="auto"/>
        <w:tblLook w:val="04A0" w:firstRow="1" w:lastRow="0" w:firstColumn="1" w:lastColumn="0" w:noHBand="0" w:noVBand="1"/>
      </w:tblPr>
      <w:tblGrid>
        <w:gridCol w:w="8959"/>
      </w:tblGrid>
      <w:tr w:rsidR="00EB0EBC" w:rsidRPr="00EB0EBC" w14:paraId="73D954C5" w14:textId="77777777" w:rsidTr="00ED2EDA">
        <w:trPr>
          <w:trHeight w:val="630"/>
        </w:trPr>
        <w:tc>
          <w:tcPr>
            <w:tcW w:w="8959" w:type="dxa"/>
          </w:tcPr>
          <w:p w14:paraId="18E0099B" w14:textId="77777777" w:rsidR="00B57080" w:rsidRPr="00EB0EBC" w:rsidRDefault="00B57080" w:rsidP="00B57080">
            <w:pPr>
              <w:pStyle w:val="Category"/>
              <w:rPr>
                <w:color w:val="auto"/>
              </w:rPr>
            </w:pPr>
          </w:p>
          <w:p w14:paraId="65DD3F7C" w14:textId="37496E67" w:rsidR="00B57080" w:rsidRPr="00EB0EBC" w:rsidRDefault="00B57080" w:rsidP="00B57080">
            <w:pPr>
              <w:pStyle w:val="Category"/>
              <w:rPr>
                <w:color w:val="auto"/>
              </w:rPr>
            </w:pPr>
            <w:r w:rsidRPr="00EB0EBC">
              <w:rPr>
                <w:color w:val="auto"/>
              </w:rPr>
              <w:fldChar w:fldCharType="begin"/>
            </w:r>
            <w:r w:rsidRPr="00EB0EBC">
              <w:rPr>
                <w:color w:val="auto"/>
              </w:rPr>
              <w:instrText xml:space="preserve"> date \@ "d MMMM YYYY" \mergeformat </w:instrText>
            </w:r>
            <w:r w:rsidRPr="00EB0EBC">
              <w:rPr>
                <w:color w:val="auto"/>
              </w:rPr>
              <w:fldChar w:fldCharType="separate"/>
            </w:r>
            <w:r w:rsidR="00314196">
              <w:rPr>
                <w:noProof/>
                <w:color w:val="auto"/>
              </w:rPr>
              <w:t>11 October 2021</w:t>
            </w:r>
            <w:r w:rsidRPr="00EB0EBC">
              <w:rPr>
                <w:color w:val="auto"/>
              </w:rPr>
              <w:fldChar w:fldCharType="end"/>
            </w:r>
          </w:p>
        </w:tc>
      </w:tr>
    </w:tbl>
    <w:p w14:paraId="363C3C44" w14:textId="77777777" w:rsidR="00220D05" w:rsidRPr="00EB0EBC" w:rsidRDefault="00220D05" w:rsidP="00EB0EBC">
      <w:pPr>
        <w:pStyle w:val="TOCHeading"/>
        <w:rPr>
          <w:color w:val="auto"/>
        </w:rPr>
      </w:pPr>
    </w:p>
    <w:sectPr w:rsidR="00220D05" w:rsidRPr="00EB0EBC" w:rsidSect="00EB0EBC">
      <w:headerReference w:type="default" r:id="rId11"/>
      <w:footerReference w:type="default" r:id="rId12"/>
      <w:pgSz w:w="11907" w:h="16840" w:code="9"/>
      <w:pgMar w:top="2160" w:right="1440" w:bottom="1440" w:left="1440" w:header="133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D9A2D" w14:textId="77777777" w:rsidR="00022435" w:rsidRDefault="00022435" w:rsidP="00FE141F">
      <w:r>
        <w:separator/>
      </w:r>
    </w:p>
  </w:endnote>
  <w:endnote w:type="continuationSeparator" w:id="0">
    <w:p w14:paraId="392757EB" w14:textId="77777777" w:rsidR="00022435" w:rsidRDefault="00022435"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xagon Akkurat Light">
    <w:panose1 w:val="020B0404020101010102"/>
    <w:charset w:val="82"/>
    <w:family w:val="swiss"/>
    <w:notTrueType/>
    <w:pitch w:val="variable"/>
    <w:sig w:usb0="A10000FF" w:usb1="5906A47B" w:usb2="00000018" w:usb3="00000000" w:csb0="00200093" w:csb1="00000000"/>
  </w:font>
  <w:font w:name="Hexagon Akkurat">
    <w:panose1 w:val="020B0504020101010102"/>
    <w:charset w:val="82"/>
    <w:family w:val="swiss"/>
    <w:notTrueType/>
    <w:pitch w:val="variable"/>
    <w:sig w:usb0="A10000FF" w:usb1="5906A47B" w:usb2="00000018" w:usb3="00000000" w:csb0="00200093"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285546"/>
      <w:docPartObj>
        <w:docPartGallery w:val="Page Numbers (Bottom of Page)"/>
        <w:docPartUnique/>
      </w:docPartObj>
    </w:sdtPr>
    <w:sdtContent>
      <w:sdt>
        <w:sdtPr>
          <w:id w:val="-1769616900"/>
          <w:docPartObj>
            <w:docPartGallery w:val="Page Numbers (Top of Page)"/>
            <w:docPartUnique/>
          </w:docPartObj>
        </w:sdtPr>
        <w:sdtContent>
          <w:p w14:paraId="2718F4AC" w14:textId="5EB114EB" w:rsidR="00EA4917" w:rsidRDefault="00EA4917">
            <w:pPr>
              <w:pStyle w:val="Footer"/>
              <w:jc w:val="right"/>
            </w:pPr>
            <w:r w:rsidRPr="00EA4917">
              <w:rPr>
                <w:sz w:val="16"/>
                <w:szCs w:val="16"/>
              </w:rPr>
              <w:t xml:space="preserve">Page </w:t>
            </w:r>
            <w:r w:rsidRPr="00EA4917">
              <w:rPr>
                <w:b/>
                <w:bCs/>
                <w:sz w:val="16"/>
                <w:szCs w:val="16"/>
              </w:rPr>
              <w:fldChar w:fldCharType="begin"/>
            </w:r>
            <w:r w:rsidRPr="00EA4917">
              <w:rPr>
                <w:b/>
                <w:bCs/>
                <w:sz w:val="16"/>
                <w:szCs w:val="16"/>
              </w:rPr>
              <w:instrText xml:space="preserve"> PAGE </w:instrText>
            </w:r>
            <w:r w:rsidRPr="00EA4917">
              <w:rPr>
                <w:b/>
                <w:bCs/>
                <w:sz w:val="16"/>
                <w:szCs w:val="16"/>
              </w:rPr>
              <w:fldChar w:fldCharType="separate"/>
            </w:r>
            <w:r w:rsidRPr="00EA4917">
              <w:rPr>
                <w:b/>
                <w:bCs/>
                <w:noProof/>
                <w:sz w:val="16"/>
                <w:szCs w:val="16"/>
              </w:rPr>
              <w:t>2</w:t>
            </w:r>
            <w:r w:rsidRPr="00EA4917">
              <w:rPr>
                <w:b/>
                <w:bCs/>
                <w:sz w:val="16"/>
                <w:szCs w:val="16"/>
              </w:rPr>
              <w:fldChar w:fldCharType="end"/>
            </w:r>
            <w:r w:rsidRPr="00EA4917">
              <w:rPr>
                <w:sz w:val="16"/>
                <w:szCs w:val="16"/>
              </w:rPr>
              <w:t xml:space="preserve"> of </w:t>
            </w:r>
            <w:r w:rsidRPr="00EA4917">
              <w:rPr>
                <w:b/>
                <w:bCs/>
                <w:sz w:val="16"/>
                <w:szCs w:val="16"/>
              </w:rPr>
              <w:fldChar w:fldCharType="begin"/>
            </w:r>
            <w:r w:rsidRPr="00EA4917">
              <w:rPr>
                <w:b/>
                <w:bCs/>
                <w:sz w:val="16"/>
                <w:szCs w:val="16"/>
              </w:rPr>
              <w:instrText xml:space="preserve"> NUMPAGES  </w:instrText>
            </w:r>
            <w:r w:rsidRPr="00EA4917">
              <w:rPr>
                <w:b/>
                <w:bCs/>
                <w:sz w:val="16"/>
                <w:szCs w:val="16"/>
              </w:rPr>
              <w:fldChar w:fldCharType="separate"/>
            </w:r>
            <w:r w:rsidRPr="00EA4917">
              <w:rPr>
                <w:b/>
                <w:bCs/>
                <w:noProof/>
                <w:sz w:val="16"/>
                <w:szCs w:val="16"/>
              </w:rPr>
              <w:t>2</w:t>
            </w:r>
            <w:r w:rsidRPr="00EA4917">
              <w:rPr>
                <w:b/>
                <w:bCs/>
                <w:sz w:val="16"/>
                <w:szCs w:val="16"/>
              </w:rPr>
              <w:fldChar w:fldCharType="end"/>
            </w:r>
          </w:p>
        </w:sdtContent>
      </w:sdt>
    </w:sdtContent>
  </w:sdt>
  <w:p w14:paraId="64A080AE" w14:textId="77777777" w:rsidR="00EA4917" w:rsidRDefault="00EA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685D" w14:textId="77777777" w:rsidR="00022435" w:rsidRDefault="00022435" w:rsidP="00FE141F">
      <w:r>
        <w:separator/>
      </w:r>
    </w:p>
  </w:footnote>
  <w:footnote w:type="continuationSeparator" w:id="0">
    <w:p w14:paraId="0ADD4918" w14:textId="77777777" w:rsidR="00022435" w:rsidRDefault="00022435"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0023" w14:textId="1667B9CF" w:rsidR="00723460" w:rsidRDefault="00EA4917">
    <w:pPr>
      <w:pStyle w:val="Header"/>
    </w:pPr>
    <w:r w:rsidRPr="00AE0CDB">
      <w:rPr>
        <w:noProof/>
        <w:lang w:val="pt-BR" w:eastAsia="pt-BR"/>
      </w:rPr>
      <mc:AlternateContent>
        <mc:Choice Requires="wps">
          <w:drawing>
            <wp:anchor distT="0" distB="0" distL="114300" distR="114300" simplePos="0" relativeHeight="251696128" behindDoc="0" locked="0" layoutInCell="1" allowOverlap="1" wp14:anchorId="244FF3D2" wp14:editId="34A4D649">
              <wp:simplePos x="0" y="0"/>
              <wp:positionH relativeFrom="column">
                <wp:posOffset>2708910</wp:posOffset>
              </wp:positionH>
              <wp:positionV relativeFrom="paragraph">
                <wp:posOffset>-454025</wp:posOffset>
              </wp:positionV>
              <wp:extent cx="3168015" cy="111315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113155"/>
                      </a:xfrm>
                      <a:prstGeom prst="rect">
                        <a:avLst/>
                      </a:prstGeom>
                      <a:solidFill>
                        <a:srgbClr val="FFFFFF"/>
                      </a:solidFill>
                      <a:ln w="9525">
                        <a:noFill/>
                        <a:miter lim="800000"/>
                        <a:headEnd/>
                        <a:tailEnd/>
                      </a:ln>
                    </wps:spPr>
                    <wps:txbx>
                      <w:txbxContent>
                        <w:p w14:paraId="4C7B3E05" w14:textId="77777777" w:rsidR="00EA4917" w:rsidRPr="008B6989" w:rsidRDefault="00EA4917" w:rsidP="00EA4917">
                          <w:pPr>
                            <w:pStyle w:val="HEXFooter"/>
                            <w:jc w:val="right"/>
                            <w:rPr>
                              <w:rFonts w:asciiTheme="minorHAnsi" w:hAnsiTheme="minorHAnsi" w:cstheme="minorHAnsi"/>
                              <w:sz w:val="16"/>
                              <w:szCs w:val="16"/>
                            </w:rPr>
                          </w:pPr>
                          <w:r w:rsidRPr="008B6989">
                            <w:rPr>
                              <w:rFonts w:asciiTheme="minorHAnsi" w:hAnsiTheme="minorHAnsi" w:cstheme="minorHAnsi"/>
                              <w:sz w:val="16"/>
                              <w:szCs w:val="16"/>
                            </w:rPr>
                            <w:t>Hexagon Mining Inc.</w:t>
                          </w:r>
                        </w:p>
                        <w:p w14:paraId="2F072C78" w14:textId="77777777" w:rsidR="00EA4917" w:rsidRPr="00ED7558" w:rsidRDefault="00EA4917" w:rsidP="00EA4917">
                          <w:pPr>
                            <w:pStyle w:val="HEXFooter"/>
                            <w:jc w:val="right"/>
                            <w:rPr>
                              <w:sz w:val="16"/>
                            </w:rPr>
                          </w:pPr>
                          <w:r w:rsidRPr="00ED7558">
                            <w:rPr>
                              <w:sz w:val="16"/>
                            </w:rPr>
                            <w:t>40 E C</w:t>
                          </w:r>
                          <w:r>
                            <w:rPr>
                              <w:sz w:val="16"/>
                            </w:rPr>
                            <w:t>ongress Street, Suite 150</w:t>
                          </w:r>
                        </w:p>
                        <w:p w14:paraId="4141CB97" w14:textId="77777777" w:rsidR="00EA4917" w:rsidRPr="00E72CD6" w:rsidRDefault="00EA4917" w:rsidP="00EA4917">
                          <w:pPr>
                            <w:pStyle w:val="HEXFooter"/>
                            <w:jc w:val="right"/>
                            <w:rPr>
                              <w:sz w:val="16"/>
                              <w:lang w:val="es-CL"/>
                            </w:rPr>
                          </w:pPr>
                          <w:r w:rsidRPr="00E72CD6">
                            <w:rPr>
                              <w:sz w:val="16"/>
                              <w:lang w:val="es-CL"/>
                            </w:rPr>
                            <w:t>Tucson, AZ</w:t>
                          </w:r>
                          <w:r>
                            <w:rPr>
                              <w:sz w:val="16"/>
                              <w:lang w:val="es-CL"/>
                            </w:rPr>
                            <w:t xml:space="preserve">, </w:t>
                          </w:r>
                          <w:r w:rsidRPr="00E72CD6">
                            <w:rPr>
                              <w:sz w:val="16"/>
                              <w:lang w:val="es-CL"/>
                            </w:rPr>
                            <w:t xml:space="preserve">87501, USA </w:t>
                          </w:r>
                        </w:p>
                        <w:p w14:paraId="142C2B16" w14:textId="77777777" w:rsidR="00EA4917" w:rsidRDefault="00EA4917" w:rsidP="00EA4917">
                          <w:pPr>
                            <w:pStyle w:val="HEXFooter"/>
                            <w:ind w:right="23"/>
                            <w:jc w:val="right"/>
                            <w:rPr>
                              <w:rFonts w:ascii="ArialMT" w:eastAsia="Times New Roman" w:hAnsi="ArialMT" w:cs="Times New Roman"/>
                              <w:sz w:val="16"/>
                              <w:szCs w:val="16"/>
                              <w:lang w:val="es-CL"/>
                            </w:rPr>
                          </w:pPr>
                          <w:r w:rsidRPr="00E72CD6">
                            <w:rPr>
                              <w:rFonts w:ascii="ArialMT" w:eastAsia="Times New Roman" w:hAnsi="ArialMT" w:cs="Times New Roman"/>
                              <w:sz w:val="16"/>
                              <w:szCs w:val="16"/>
                              <w:lang w:val="es-CL"/>
                            </w:rPr>
                            <w:t xml:space="preserve">T: +1 (520) 795-3891 </w:t>
                          </w:r>
                          <w:r w:rsidRPr="00E72CD6">
                            <w:rPr>
                              <w:rFonts w:ascii="ArialMT" w:eastAsia="Times New Roman" w:hAnsi="ArialMT" w:cs="Times New Roman"/>
                              <w:sz w:val="16"/>
                              <w:szCs w:val="16"/>
                              <w:lang w:val="es-CL"/>
                            </w:rPr>
                            <w:br/>
                            <w:t xml:space="preserve">F: +1 (520) 325-2568 </w:t>
                          </w:r>
                        </w:p>
                        <w:p w14:paraId="7D7DAC8D" w14:textId="77777777" w:rsidR="00EA4917" w:rsidRPr="00E72CD6" w:rsidRDefault="00EA4917" w:rsidP="00EA4917">
                          <w:pPr>
                            <w:pStyle w:val="HEXFooter"/>
                            <w:ind w:right="23"/>
                            <w:jc w:val="right"/>
                            <w:rPr>
                              <w:sz w:val="16"/>
                              <w:lang w:val="es-CL"/>
                            </w:rPr>
                          </w:pPr>
                          <w:r w:rsidRPr="00E72CD6">
                            <w:rPr>
                              <w:rFonts w:ascii="ArialMT" w:eastAsia="Times New Roman" w:hAnsi="ArialMT" w:cs="Times New Roman"/>
                              <w:sz w:val="16"/>
                              <w:szCs w:val="16"/>
                              <w:lang w:val="es-CL"/>
                            </w:rPr>
                            <w:t>www.</w:t>
                          </w:r>
                          <w:r>
                            <w:rPr>
                              <w:rFonts w:ascii="ArialMT" w:eastAsia="Times New Roman" w:hAnsi="ArialMT" w:cs="Times New Roman"/>
                              <w:sz w:val="16"/>
                              <w:szCs w:val="16"/>
                              <w:lang w:val="es-CL"/>
                            </w:rPr>
                            <w:t>h</w:t>
                          </w:r>
                          <w:r w:rsidRPr="00E72CD6">
                            <w:rPr>
                              <w:rFonts w:ascii="ArialMT" w:eastAsia="Times New Roman" w:hAnsi="ArialMT" w:cs="Times New Roman"/>
                              <w:sz w:val="16"/>
                              <w:szCs w:val="16"/>
                              <w:lang w:val="es-CL"/>
                            </w:rPr>
                            <w:t>exagon</w:t>
                          </w:r>
                          <w:r>
                            <w:rPr>
                              <w:rFonts w:ascii="ArialMT" w:eastAsia="Times New Roman" w:hAnsi="ArialMT" w:cs="Times New Roman"/>
                              <w:sz w:val="16"/>
                              <w:szCs w:val="16"/>
                              <w:lang w:val="es-CL"/>
                            </w:rPr>
                            <w:t>m</w:t>
                          </w:r>
                          <w:r w:rsidRPr="00E72CD6">
                            <w:rPr>
                              <w:rFonts w:ascii="ArialMT" w:eastAsia="Times New Roman" w:hAnsi="ArialMT" w:cs="Times New Roman"/>
                              <w:sz w:val="16"/>
                              <w:szCs w:val="16"/>
                              <w:lang w:val="es-CL"/>
                            </w:rPr>
                            <w:t>ining.com</w:t>
                          </w:r>
                          <w:r w:rsidRPr="00E72CD6">
                            <w:rPr>
                              <w:sz w:val="16"/>
                              <w:lang w:val="es-CL"/>
                            </w:rPr>
                            <w:t xml:space="preserve"> </w:t>
                          </w:r>
                        </w:p>
                        <w:p w14:paraId="59519AF3" w14:textId="77777777" w:rsidR="00EA4917" w:rsidRPr="0097199F" w:rsidRDefault="00EA4917" w:rsidP="00EA4917">
                          <w:pPr>
                            <w:pStyle w:val="HEXFooter"/>
                            <w:ind w:right="23"/>
                            <w:jc w:val="right"/>
                            <w:rPr>
                              <w:sz w:val="16"/>
                              <w:lang w:val="pt-B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FF3D2" id="_x0000_t202" coordsize="21600,21600" o:spt="202" path="m,l,21600r21600,l21600,xe">
              <v:stroke joinstyle="miter"/>
              <v:path gradientshapeok="t" o:connecttype="rect"/>
            </v:shapetype>
            <v:shape id="Text Box 2" o:spid="_x0000_s1026" type="#_x0000_t202" style="position:absolute;left:0;text-align:left;margin-left:213.3pt;margin-top:-35.75pt;width:249.45pt;height:87.6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" stroked="f">
              <v:textbox style="mso-fit-shape-to-text:t">
                <w:txbxContent>
                  <w:p w14:paraId="4C7B3E05" w14:textId="77777777" w:rsidR="00EA4917" w:rsidRPr="008B6989" w:rsidRDefault="00EA4917" w:rsidP="00EA4917">
                    <w:pPr>
                      <w:pStyle w:val="HEXFooter"/>
                      <w:jc w:val="right"/>
                      <w:rPr>
                        <w:rFonts w:asciiTheme="minorHAnsi" w:hAnsiTheme="minorHAnsi" w:cstheme="minorHAnsi"/>
                        <w:sz w:val="16"/>
                        <w:szCs w:val="16"/>
                      </w:rPr>
                    </w:pPr>
                    <w:r w:rsidRPr="008B6989">
                      <w:rPr>
                        <w:rFonts w:asciiTheme="minorHAnsi" w:hAnsiTheme="minorHAnsi" w:cstheme="minorHAnsi"/>
                        <w:sz w:val="16"/>
                        <w:szCs w:val="16"/>
                      </w:rPr>
                      <w:t>Hexagon Mining Inc.</w:t>
                    </w:r>
                  </w:p>
                  <w:p w14:paraId="2F072C78" w14:textId="77777777" w:rsidR="00EA4917" w:rsidRPr="00ED7558" w:rsidRDefault="00EA4917" w:rsidP="00EA4917">
                    <w:pPr>
                      <w:pStyle w:val="HEXFooter"/>
                      <w:jc w:val="right"/>
                      <w:rPr>
                        <w:sz w:val="16"/>
                      </w:rPr>
                    </w:pPr>
                    <w:r w:rsidRPr="00ED7558">
                      <w:rPr>
                        <w:sz w:val="16"/>
                      </w:rPr>
                      <w:t>40 E C</w:t>
                    </w:r>
                    <w:r>
                      <w:rPr>
                        <w:sz w:val="16"/>
                      </w:rPr>
                      <w:t>ongress Street, Suite 150</w:t>
                    </w:r>
                  </w:p>
                  <w:p w14:paraId="4141CB97" w14:textId="77777777" w:rsidR="00EA4917" w:rsidRPr="00E72CD6" w:rsidRDefault="00EA4917" w:rsidP="00EA4917">
                    <w:pPr>
                      <w:pStyle w:val="HEXFooter"/>
                      <w:jc w:val="right"/>
                      <w:rPr>
                        <w:sz w:val="16"/>
                        <w:lang w:val="es-CL"/>
                      </w:rPr>
                    </w:pPr>
                    <w:r w:rsidRPr="00E72CD6">
                      <w:rPr>
                        <w:sz w:val="16"/>
                        <w:lang w:val="es-CL"/>
                      </w:rPr>
                      <w:t>Tucson, AZ</w:t>
                    </w:r>
                    <w:r>
                      <w:rPr>
                        <w:sz w:val="16"/>
                        <w:lang w:val="es-CL"/>
                      </w:rPr>
                      <w:t xml:space="preserve">, </w:t>
                    </w:r>
                    <w:r w:rsidRPr="00E72CD6">
                      <w:rPr>
                        <w:sz w:val="16"/>
                        <w:lang w:val="es-CL"/>
                      </w:rPr>
                      <w:t xml:space="preserve">87501, USA </w:t>
                    </w:r>
                  </w:p>
                  <w:p w14:paraId="142C2B16" w14:textId="77777777" w:rsidR="00EA4917" w:rsidRDefault="00EA4917" w:rsidP="00EA4917">
                    <w:pPr>
                      <w:pStyle w:val="HEXFooter"/>
                      <w:ind w:right="23"/>
                      <w:jc w:val="right"/>
                      <w:rPr>
                        <w:rFonts w:ascii="ArialMT" w:eastAsia="Times New Roman" w:hAnsi="ArialMT" w:cs="Times New Roman"/>
                        <w:sz w:val="16"/>
                        <w:szCs w:val="16"/>
                        <w:lang w:val="es-CL"/>
                      </w:rPr>
                    </w:pPr>
                    <w:r w:rsidRPr="00E72CD6">
                      <w:rPr>
                        <w:rFonts w:ascii="ArialMT" w:eastAsia="Times New Roman" w:hAnsi="ArialMT" w:cs="Times New Roman"/>
                        <w:sz w:val="16"/>
                        <w:szCs w:val="16"/>
                        <w:lang w:val="es-CL"/>
                      </w:rPr>
                      <w:t xml:space="preserve">T: +1 (520) 795-3891 </w:t>
                    </w:r>
                    <w:r w:rsidRPr="00E72CD6">
                      <w:rPr>
                        <w:rFonts w:ascii="ArialMT" w:eastAsia="Times New Roman" w:hAnsi="ArialMT" w:cs="Times New Roman"/>
                        <w:sz w:val="16"/>
                        <w:szCs w:val="16"/>
                        <w:lang w:val="es-CL"/>
                      </w:rPr>
                      <w:br/>
                      <w:t xml:space="preserve">F: +1 (520) 325-2568 </w:t>
                    </w:r>
                  </w:p>
                  <w:p w14:paraId="7D7DAC8D" w14:textId="77777777" w:rsidR="00EA4917" w:rsidRPr="00E72CD6" w:rsidRDefault="00EA4917" w:rsidP="00EA4917">
                    <w:pPr>
                      <w:pStyle w:val="HEXFooter"/>
                      <w:ind w:right="23"/>
                      <w:jc w:val="right"/>
                      <w:rPr>
                        <w:sz w:val="16"/>
                        <w:lang w:val="es-CL"/>
                      </w:rPr>
                    </w:pPr>
                    <w:r w:rsidRPr="00E72CD6">
                      <w:rPr>
                        <w:rFonts w:ascii="ArialMT" w:eastAsia="Times New Roman" w:hAnsi="ArialMT" w:cs="Times New Roman"/>
                        <w:sz w:val="16"/>
                        <w:szCs w:val="16"/>
                        <w:lang w:val="es-CL"/>
                      </w:rPr>
                      <w:t>www.</w:t>
                    </w:r>
                    <w:r>
                      <w:rPr>
                        <w:rFonts w:ascii="ArialMT" w:eastAsia="Times New Roman" w:hAnsi="ArialMT" w:cs="Times New Roman"/>
                        <w:sz w:val="16"/>
                        <w:szCs w:val="16"/>
                        <w:lang w:val="es-CL"/>
                      </w:rPr>
                      <w:t>h</w:t>
                    </w:r>
                    <w:r w:rsidRPr="00E72CD6">
                      <w:rPr>
                        <w:rFonts w:ascii="ArialMT" w:eastAsia="Times New Roman" w:hAnsi="ArialMT" w:cs="Times New Roman"/>
                        <w:sz w:val="16"/>
                        <w:szCs w:val="16"/>
                        <w:lang w:val="es-CL"/>
                      </w:rPr>
                      <w:t>exagon</w:t>
                    </w:r>
                    <w:r>
                      <w:rPr>
                        <w:rFonts w:ascii="ArialMT" w:eastAsia="Times New Roman" w:hAnsi="ArialMT" w:cs="Times New Roman"/>
                        <w:sz w:val="16"/>
                        <w:szCs w:val="16"/>
                        <w:lang w:val="es-CL"/>
                      </w:rPr>
                      <w:t>m</w:t>
                    </w:r>
                    <w:r w:rsidRPr="00E72CD6">
                      <w:rPr>
                        <w:rFonts w:ascii="ArialMT" w:eastAsia="Times New Roman" w:hAnsi="ArialMT" w:cs="Times New Roman"/>
                        <w:sz w:val="16"/>
                        <w:szCs w:val="16"/>
                        <w:lang w:val="es-CL"/>
                      </w:rPr>
                      <w:t>ining.com</w:t>
                    </w:r>
                    <w:r w:rsidRPr="00E72CD6">
                      <w:rPr>
                        <w:sz w:val="16"/>
                        <w:lang w:val="es-CL"/>
                      </w:rPr>
                      <w:t xml:space="preserve"> </w:t>
                    </w:r>
                  </w:p>
                  <w:p w14:paraId="59519AF3" w14:textId="77777777" w:rsidR="00EA4917" w:rsidRPr="0097199F" w:rsidRDefault="00EA4917" w:rsidP="00EA4917">
                    <w:pPr>
                      <w:pStyle w:val="HEXFooter"/>
                      <w:ind w:right="23"/>
                      <w:jc w:val="right"/>
                      <w:rPr>
                        <w:sz w:val="16"/>
                        <w:lang w:val="pt-BR"/>
                      </w:rPr>
                    </w:pPr>
                  </w:p>
                </w:txbxContent>
              </v:textbox>
            </v:shape>
          </w:pict>
        </mc:Fallback>
      </mc:AlternateContent>
    </w:r>
    <w:r w:rsidR="00723460">
      <w:rPr>
        <w:noProof/>
      </w:rPr>
      <w:drawing>
        <wp:anchor distT="0" distB="0" distL="114300" distR="114300" simplePos="0" relativeHeight="251694080" behindDoc="1" locked="0" layoutInCell="1" allowOverlap="1" wp14:anchorId="13A94CE3" wp14:editId="60F76E50">
          <wp:simplePos x="0" y="0"/>
          <wp:positionH relativeFrom="margin">
            <wp:posOffset>0</wp:posOffset>
          </wp:positionH>
          <wp:positionV relativeFrom="page">
            <wp:posOffset>575945</wp:posOffset>
          </wp:positionV>
          <wp:extent cx="1832760" cy="580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_RGB_STANDARD.jpg"/>
                  <pic:cNvPicPr/>
                </pic:nvPicPr>
                <pic:blipFill rotWithShape="1">
                  <a:blip r:embed="rId1">
                    <a:extLst>
                      <a:ext uri="{28A0092B-C50C-407E-A947-70E740481C1C}">
                        <a14:useLocalDpi xmlns:a14="http://schemas.microsoft.com/office/drawing/2010/main" val="0"/>
                      </a:ext>
                    </a:extLst>
                  </a:blip>
                  <a:srcRect l="7223" t="16897" r="6972" b="16632"/>
                  <a:stretch/>
                </pic:blipFill>
                <pic:spPr bwMode="auto">
                  <a:xfrm>
                    <a:off x="0" y="0"/>
                    <a:ext cx="1832760" cy="58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3783"/>
    <w:multiLevelType w:val="hybridMultilevel"/>
    <w:tmpl w:val="B58644AE"/>
    <w:lvl w:ilvl="0" w:tplc="35CE8A90">
      <w:start w:val="1"/>
      <w:numFmt w:val="lowerRoman"/>
      <w:pStyle w:val="MediaReleaseListNumber3"/>
      <w:lvlText w:val="%1."/>
      <w:lvlJc w:val="righ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 w15:restartNumberingAfterBreak="0">
    <w:nsid w:val="0F2E7AC3"/>
    <w:multiLevelType w:val="multilevel"/>
    <w:tmpl w:val="1EAC2DB2"/>
    <w:lvl w:ilvl="0">
      <w:start w:val="1"/>
      <w:numFmt w:val="decimal"/>
      <w:pStyle w:val="Sectionheading"/>
      <w:isLgl/>
      <w:lvlText w:val="%1"/>
      <w:lvlJc w:val="left"/>
      <w:pPr>
        <w:tabs>
          <w:tab w:val="num" w:pos="851"/>
        </w:tabs>
        <w:ind w:left="851" w:hanging="851"/>
      </w:pPr>
      <w:rPr>
        <w:rFonts w:ascii="Arial (W1)" w:hAnsi="Arial (W1)" w:hint="default"/>
        <w:b/>
        <w:i w:val="0"/>
        <w:sz w:val="22"/>
      </w:rPr>
    </w:lvl>
    <w:lvl w:ilvl="1">
      <w:start w:val="1"/>
      <w:numFmt w:val="decimal"/>
      <w:pStyle w:val="Section1"/>
      <w:isLgl/>
      <w:lvlText w:val="%1.%2"/>
      <w:lvlJc w:val="left"/>
      <w:pPr>
        <w:tabs>
          <w:tab w:val="num" w:pos="851"/>
        </w:tabs>
        <w:ind w:left="851" w:hanging="851"/>
      </w:pPr>
      <w:rPr>
        <w:rFonts w:ascii="CG Times (W1)" w:hAnsi="CG Times (W1)"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
      <w:isLgl/>
      <w:lvlText w:val="%1.%2.%3"/>
      <w:lvlJc w:val="left"/>
      <w:pPr>
        <w:tabs>
          <w:tab w:val="num" w:pos="851"/>
        </w:tabs>
        <w:ind w:left="851" w:hanging="851"/>
      </w:pPr>
      <w:rPr>
        <w:rFonts w:ascii="CG Times (W1)" w:hAnsi="CG Times (W1)"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ection3"/>
      <w:isLgl/>
      <w:lvlText w:val="%1.%2.%3.%4"/>
      <w:lvlJc w:val="left"/>
      <w:pPr>
        <w:tabs>
          <w:tab w:val="num" w:pos="992"/>
        </w:tabs>
        <w:ind w:left="992" w:hanging="992"/>
      </w:pPr>
      <w:rPr>
        <w:rFonts w:ascii="Arial (W1)" w:hAnsi="Arial (W1)" w:hint="default"/>
        <w:b w:val="0"/>
        <w:i w:val="0"/>
        <w:sz w:val="22"/>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0124469"/>
    <w:multiLevelType w:val="multilevel"/>
    <w:tmpl w:val="78829ED6"/>
    <w:lvl w:ilvl="0">
      <w:start w:val="1"/>
      <w:numFmt w:val="decimal"/>
      <w:pStyle w:val="Doc1"/>
      <w:lvlText w:val="%1."/>
      <w:lvlJc w:val="left"/>
      <w:pPr>
        <w:tabs>
          <w:tab w:val="num" w:pos="0"/>
        </w:tabs>
        <w:ind w:left="425" w:hanging="425"/>
      </w:pPr>
      <w:rPr>
        <w:rFonts w:ascii="Arial Bold" w:hAnsi="Arial Bold"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Doc2"/>
      <w:lvlText w:val="(%2)"/>
      <w:lvlJc w:val="left"/>
      <w:pPr>
        <w:tabs>
          <w:tab w:val="num" w:pos="360"/>
        </w:tabs>
        <w:ind w:left="785" w:hanging="425"/>
      </w:pPr>
      <w:rPr>
        <w:rFonts w:ascii="Arial" w:eastAsia="SimSun" w:hAnsi="Arial" w:cs="Arial"/>
        <w:b w:val="0"/>
        <w:bCs/>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oc3"/>
      <w:lvlText w:val="(%3)"/>
      <w:lvlJc w:val="left"/>
      <w:pPr>
        <w:tabs>
          <w:tab w:val="num" w:pos="284"/>
        </w:tabs>
        <w:ind w:left="710" w:hanging="426"/>
      </w:pPr>
      <w:rPr>
        <w:rFonts w:ascii="Arial" w:eastAsia="SimSun" w:hAnsi="Arial" w:cs="Arial"/>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24"/>
        </w:tabs>
        <w:ind w:left="172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444"/>
        </w:tabs>
        <w:ind w:left="244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164"/>
        </w:tabs>
        <w:ind w:left="3164" w:hanging="720"/>
      </w:pPr>
      <w:rPr>
        <w:rFonts w:ascii="Arial" w:hAnsi="Arial" w:hint="default"/>
        <w:b w:val="0"/>
        <w:i w:val="0"/>
        <w:sz w:val="22"/>
        <w:szCs w:val="22"/>
      </w:rPr>
    </w:lvl>
    <w:lvl w:ilvl="6">
      <w:start w:val="1"/>
      <w:numFmt w:val="none"/>
      <w:suff w:val="space"/>
      <w:lvlText w:val=""/>
      <w:lvlJc w:val="left"/>
      <w:pPr>
        <w:ind w:left="284" w:firstLine="0"/>
      </w:pPr>
      <w:rPr>
        <w:rFonts w:hint="default"/>
      </w:rPr>
    </w:lvl>
    <w:lvl w:ilvl="7">
      <w:start w:val="1"/>
      <w:numFmt w:val="none"/>
      <w:suff w:val="space"/>
      <w:lvlText w:val=""/>
      <w:lvlJc w:val="left"/>
      <w:pPr>
        <w:ind w:left="284" w:firstLine="0"/>
      </w:pPr>
      <w:rPr>
        <w:rFonts w:hint="default"/>
      </w:rPr>
    </w:lvl>
    <w:lvl w:ilvl="8">
      <w:start w:val="1"/>
      <w:numFmt w:val="none"/>
      <w:suff w:val="space"/>
      <w:lvlText w:val=""/>
      <w:lvlJc w:val="left"/>
      <w:pPr>
        <w:ind w:left="284" w:firstLine="0"/>
      </w:pPr>
      <w:rPr>
        <w:rFonts w:hint="default"/>
      </w:rPr>
    </w:lvl>
  </w:abstractNum>
  <w:abstractNum w:abstractNumId="3" w15:restartNumberingAfterBreak="0">
    <w:nsid w:val="11CE304C"/>
    <w:multiLevelType w:val="hybridMultilevel"/>
    <w:tmpl w:val="B96C0992"/>
    <w:lvl w:ilvl="0" w:tplc="14AA05F4">
      <w:start w:val="1"/>
      <w:numFmt w:val="lowerRoman"/>
      <w:pStyle w:val="ListNumber3"/>
      <w:lvlText w:val="%1."/>
      <w:lvlJc w:val="right"/>
      <w:pPr>
        <w:ind w:left="1477" w:hanging="360"/>
      </w:pPr>
      <w:rPr>
        <w:rFonts w:hint="default"/>
        <w:color w:val="080808"/>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 w15:restartNumberingAfterBreak="0">
    <w:nsid w:val="19CE2912"/>
    <w:multiLevelType w:val="multilevel"/>
    <w:tmpl w:val="E52C563A"/>
    <w:lvl w:ilvl="0">
      <w:start w:val="1"/>
      <w:numFmt w:val="decimal"/>
      <w:lvlText w:val="%1."/>
      <w:lvlJc w:val="left"/>
      <w:pPr>
        <w:ind w:left="720" w:hanging="360"/>
      </w:pPr>
      <w:rPr>
        <w:rFonts w:ascii="Arial" w:hAnsi="Arial" w:cs="Arial" w:hint="default"/>
        <w:b/>
        <w:bCs/>
        <w:sz w:val="20"/>
        <w:szCs w:val="20"/>
      </w:rPr>
    </w:lvl>
    <w:lvl w:ilvl="1">
      <w:start w:val="1"/>
      <w:numFmt w:val="decimal"/>
      <w:lvlText w:val="%1.%2."/>
      <w:lvlJc w:val="left"/>
      <w:pPr>
        <w:ind w:left="720" w:hanging="360"/>
      </w:pPr>
      <w:rPr>
        <w:b w:val="0"/>
        <w:bCs w:val="0"/>
        <w:sz w:val="20"/>
        <w:szCs w:val="2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7C45B8"/>
    <w:multiLevelType w:val="hybridMultilevel"/>
    <w:tmpl w:val="BDFCEDA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DF62A4"/>
    <w:multiLevelType w:val="multilevel"/>
    <w:tmpl w:val="2A543B4A"/>
    <w:lvl w:ilvl="0">
      <w:start w:val="15"/>
      <w:numFmt w:val="decimal"/>
      <w:lvlText w:val="%1."/>
      <w:lvlJc w:val="left"/>
      <w:pPr>
        <w:ind w:left="450" w:hanging="450"/>
      </w:pPr>
      <w:rPr>
        <w:rFonts w:hint="default"/>
        <w:b/>
      </w:rPr>
    </w:lvl>
    <w:lvl w:ilvl="1">
      <w:start w:val="1"/>
      <w:numFmt w:val="decimal"/>
      <w:lvlText w:val="%1.%2."/>
      <w:lvlJc w:val="left"/>
      <w:pPr>
        <w:ind w:left="1350" w:hanging="450"/>
      </w:pPr>
      <w:rPr>
        <w:rFonts w:hint="default"/>
        <w:b w:val="0"/>
        <w:bCs/>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7" w15:restartNumberingAfterBreak="0">
    <w:nsid w:val="20064B98"/>
    <w:multiLevelType w:val="multilevel"/>
    <w:tmpl w:val="5D7E22CA"/>
    <w:numStyleLink w:val="DownerNumberedList"/>
  </w:abstractNum>
  <w:abstractNum w:abstractNumId="8" w15:restartNumberingAfterBreak="0">
    <w:nsid w:val="24266E8E"/>
    <w:multiLevelType w:val="multilevel"/>
    <w:tmpl w:val="F886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83C65"/>
    <w:multiLevelType w:val="hybridMultilevel"/>
    <w:tmpl w:val="7E202AC8"/>
    <w:lvl w:ilvl="0" w:tplc="53B6C774">
      <w:start w:val="1"/>
      <w:numFmt w:val="bullet"/>
      <w:pStyle w:val="ListBullet4"/>
      <w:lvlText w:val=""/>
      <w:lvlJc w:val="left"/>
      <w:pPr>
        <w:ind w:left="2189" w:hanging="360"/>
      </w:pPr>
      <w:rPr>
        <w:rFonts w:ascii="Symbol" w:hAnsi="Symbol" w:hint="default"/>
        <w:color w:val="080808"/>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10" w15:restartNumberingAfterBreak="0">
    <w:nsid w:val="2AE41C17"/>
    <w:multiLevelType w:val="hybridMultilevel"/>
    <w:tmpl w:val="C75ED38A"/>
    <w:lvl w:ilvl="0" w:tplc="8982A6AA">
      <w:start w:val="1"/>
      <w:numFmt w:val="bullet"/>
      <w:pStyle w:val="ListBullet5"/>
      <w:lvlText w:val=""/>
      <w:lvlJc w:val="left"/>
      <w:pPr>
        <w:ind w:left="2931" w:hanging="360"/>
      </w:pPr>
      <w:rPr>
        <w:rFonts w:ascii="Symbol" w:hAnsi="Symbol" w:hint="default"/>
        <w:color w:val="080808"/>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11" w15:restartNumberingAfterBreak="0">
    <w:nsid w:val="2C126855"/>
    <w:multiLevelType w:val="hybridMultilevel"/>
    <w:tmpl w:val="F8A4616C"/>
    <w:lvl w:ilvl="0" w:tplc="C136E126">
      <w:start w:val="1"/>
      <w:numFmt w:val="bullet"/>
      <w:pStyle w:val="ListBullet2"/>
      <w:lvlText w:val=""/>
      <w:lvlJc w:val="left"/>
      <w:pPr>
        <w:ind w:left="1536" w:hanging="360"/>
      </w:pPr>
      <w:rPr>
        <w:rFonts w:ascii="Symbol" w:hAnsi="Symbol" w:hint="default"/>
        <w:color w:val="08080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2" w15:restartNumberingAfterBreak="0">
    <w:nsid w:val="2CFD2F28"/>
    <w:multiLevelType w:val="multilevel"/>
    <w:tmpl w:val="5D7E22CA"/>
    <w:styleLink w:val="DownerNumberedList"/>
    <w:lvl w:ilvl="0">
      <w:start w:val="1"/>
      <w:numFmt w:val="decimal"/>
      <w:lvlText w:val="%1"/>
      <w:lvlJc w:val="left"/>
      <w:pPr>
        <w:ind w:left="567" w:hanging="567"/>
      </w:pPr>
      <w:rPr>
        <w:rFonts w:ascii="Arial Bold" w:hAnsi="Arial Bold" w:hint="default"/>
        <w:b/>
        <w:caps/>
        <w:smallCaps w:val="0"/>
        <w:sz w:val="16"/>
      </w:rPr>
    </w:lvl>
    <w:lvl w:ilvl="1">
      <w:start w:val="1"/>
      <w:numFmt w:val="decimal"/>
      <w:pStyle w:val="DownerListNumber2"/>
      <w:lvlText w:val="%1.%2"/>
      <w:lvlJc w:val="left"/>
      <w:pPr>
        <w:ind w:left="567" w:hanging="567"/>
      </w:pPr>
      <w:rPr>
        <w:rFonts w:ascii="Arial Bold" w:hAnsi="Arial Bold" w:hint="default"/>
        <w:b/>
        <w:i w:val="0"/>
        <w:sz w:val="16"/>
      </w:rPr>
    </w:lvl>
    <w:lvl w:ilvl="2">
      <w:start w:val="1"/>
      <w:numFmt w:val="none"/>
      <w:suff w:val="nothing"/>
      <w:lvlText w:val="%3"/>
      <w:lvlJc w:val="left"/>
      <w:pPr>
        <w:ind w:left="0" w:firstLine="0"/>
      </w:pPr>
      <w:rPr>
        <w:rFonts w:ascii="Arial" w:hAnsi="Arial" w:hint="default"/>
        <w:sz w:val="16"/>
      </w:rPr>
    </w:lvl>
    <w:lvl w:ilvl="3">
      <w:start w:val="1"/>
      <w:numFmt w:val="lowerLetter"/>
      <w:pStyle w:val="DownerListNumber4"/>
      <w:lvlText w:val="(%4)"/>
      <w:lvlJc w:val="left"/>
      <w:pPr>
        <w:ind w:left="567" w:hanging="567"/>
      </w:pPr>
      <w:rPr>
        <w:rFonts w:ascii="Arial" w:hAnsi="Arial" w:hint="default"/>
        <w:sz w:val="16"/>
      </w:rPr>
    </w:lvl>
    <w:lvl w:ilvl="4">
      <w:start w:val="1"/>
      <w:numFmt w:val="lowerRoman"/>
      <w:pStyle w:val="DownerListNumber5"/>
      <w:lvlText w:val="(%5)"/>
      <w:lvlJc w:val="left"/>
      <w:pPr>
        <w:ind w:left="1134" w:hanging="567"/>
      </w:pPr>
      <w:rPr>
        <w:rFonts w:ascii="Arial" w:hAnsi="Arial" w:hint="default"/>
        <w:sz w:val="16"/>
      </w:rPr>
    </w:lvl>
    <w:lvl w:ilvl="5">
      <w:start w:val="1"/>
      <w:numFmt w:val="upperLetter"/>
      <w:pStyle w:val="DownerListNumber6"/>
      <w:lvlText w:val="(%6)"/>
      <w:lvlJc w:val="left"/>
      <w:pPr>
        <w:ind w:left="1701" w:hanging="567"/>
      </w:pPr>
      <w:rPr>
        <w:rFonts w:ascii="Arial" w:hAnsi="Arial" w:hint="default"/>
        <w:sz w:val="16"/>
      </w:rPr>
    </w:lvl>
    <w:lvl w:ilvl="6">
      <w:start w:val="1"/>
      <w:numFmt w:val="decimal"/>
      <w:lvlText w:val="%7."/>
      <w:lvlJc w:val="left"/>
      <w:pPr>
        <w:tabs>
          <w:tab w:val="num" w:pos="8225"/>
        </w:tabs>
        <w:ind w:left="567" w:hanging="567"/>
      </w:pPr>
      <w:rPr>
        <w:rFonts w:hint="default"/>
      </w:rPr>
    </w:lvl>
    <w:lvl w:ilvl="7">
      <w:start w:val="1"/>
      <w:numFmt w:val="lowerLetter"/>
      <w:lvlText w:val="%8."/>
      <w:lvlJc w:val="left"/>
      <w:pPr>
        <w:tabs>
          <w:tab w:val="num" w:pos="9076"/>
        </w:tabs>
        <w:ind w:left="567" w:hanging="567"/>
      </w:pPr>
      <w:rPr>
        <w:rFonts w:hint="default"/>
      </w:rPr>
    </w:lvl>
    <w:lvl w:ilvl="8">
      <w:start w:val="1"/>
      <w:numFmt w:val="lowerRoman"/>
      <w:lvlText w:val="%9."/>
      <w:lvlJc w:val="left"/>
      <w:pPr>
        <w:tabs>
          <w:tab w:val="num" w:pos="9927"/>
        </w:tabs>
        <w:ind w:left="567" w:hanging="567"/>
      </w:pPr>
      <w:rPr>
        <w:rFonts w:hint="default"/>
      </w:rPr>
    </w:lvl>
  </w:abstractNum>
  <w:abstractNum w:abstractNumId="13" w15:restartNumberingAfterBreak="0">
    <w:nsid w:val="2D955FF0"/>
    <w:multiLevelType w:val="hybridMultilevel"/>
    <w:tmpl w:val="CBA63352"/>
    <w:lvl w:ilvl="0" w:tplc="BF2CB1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DC63762"/>
    <w:multiLevelType w:val="multilevel"/>
    <w:tmpl w:val="369ED9FC"/>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AB268C"/>
    <w:multiLevelType w:val="hybridMultilevel"/>
    <w:tmpl w:val="E224FC9C"/>
    <w:lvl w:ilvl="0" w:tplc="626647A8">
      <w:start w:val="1"/>
      <w:numFmt w:val="decimal"/>
      <w:pStyle w:val="MediaReleaseListNumber1"/>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6" w15:restartNumberingAfterBreak="0">
    <w:nsid w:val="365D48EB"/>
    <w:multiLevelType w:val="hybridMultilevel"/>
    <w:tmpl w:val="3E967824"/>
    <w:lvl w:ilvl="0" w:tplc="1ADCC63C">
      <w:start w:val="1"/>
      <w:numFmt w:val="lowerLetter"/>
      <w:pStyle w:val="MediaReleaseListNumber2"/>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7" w15:restartNumberingAfterBreak="0">
    <w:nsid w:val="4237051A"/>
    <w:multiLevelType w:val="multilevel"/>
    <w:tmpl w:val="B756EC9A"/>
    <w:lvl w:ilvl="0">
      <w:start w:val="14"/>
      <w:numFmt w:val="decimal"/>
      <w:lvlText w:val="%1."/>
      <w:lvlJc w:val="left"/>
      <w:pPr>
        <w:ind w:left="450" w:hanging="450"/>
      </w:pPr>
      <w:rPr>
        <w:rFonts w:eastAsiaTheme="minorHAnsi" w:hint="default"/>
        <w:b/>
      </w:rPr>
    </w:lvl>
    <w:lvl w:ilvl="1">
      <w:start w:val="3"/>
      <w:numFmt w:val="decimal"/>
      <w:lvlText w:val="%1.%2."/>
      <w:lvlJc w:val="left"/>
      <w:pPr>
        <w:ind w:left="450" w:hanging="45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8" w15:restartNumberingAfterBreak="0">
    <w:nsid w:val="4E294299"/>
    <w:multiLevelType w:val="hybridMultilevel"/>
    <w:tmpl w:val="A972FE00"/>
    <w:lvl w:ilvl="0" w:tplc="DF2E8E00">
      <w:start w:val="1"/>
      <w:numFmt w:val="lowerLetter"/>
      <w:pStyle w:val="ListNumber2"/>
      <w:lvlText w:val="%1."/>
      <w:lvlJc w:val="right"/>
      <w:pPr>
        <w:ind w:left="1497" w:hanging="360"/>
      </w:pPr>
      <w:rPr>
        <w:rFonts w:hint="default"/>
        <w:color w:val="080808"/>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15:restartNumberingAfterBreak="0">
    <w:nsid w:val="4F7C7C6D"/>
    <w:multiLevelType w:val="multilevel"/>
    <w:tmpl w:val="4B8A83FE"/>
    <w:styleLink w:val="HMIBullets"/>
    <w:lvl w:ilvl="0">
      <w:start w:val="1"/>
      <w:numFmt w:val="bullet"/>
      <w:pStyle w:val="ListBullet"/>
      <w:lvlText w:val=""/>
      <w:lvlJc w:val="left"/>
      <w:pPr>
        <w:ind w:left="746" w:hanging="360"/>
      </w:pPr>
      <w:rPr>
        <w:rFonts w:ascii="Symbol" w:hAnsi="Symbol" w:hint="default"/>
        <w:color w:val="080808"/>
      </w:rPr>
    </w:lvl>
    <w:lvl w:ilvl="1">
      <w:start w:val="1"/>
      <w:numFmt w:val="bullet"/>
      <w:lvlText w:val=""/>
      <w:lvlJc w:val="left"/>
      <w:pPr>
        <w:tabs>
          <w:tab w:val="num" w:pos="1111"/>
        </w:tabs>
        <w:ind w:left="1111" w:hanging="357"/>
      </w:pPr>
      <w:rPr>
        <w:rFonts w:ascii="Symbol" w:hAnsi="Symbol" w:hint="default"/>
        <w:color w:val="0097BA"/>
      </w:rPr>
    </w:lvl>
    <w:lvl w:ilvl="2">
      <w:start w:val="1"/>
      <w:numFmt w:val="bullet"/>
      <w:lvlText w:val=""/>
      <w:lvlJc w:val="left"/>
      <w:pPr>
        <w:tabs>
          <w:tab w:val="num" w:pos="1469"/>
        </w:tabs>
        <w:ind w:left="1469" w:hanging="358"/>
      </w:pPr>
      <w:rPr>
        <w:rFonts w:ascii="Symbol" w:hAnsi="Symbol" w:hint="default"/>
        <w:color w:val="0097BA"/>
      </w:rPr>
    </w:lvl>
    <w:lvl w:ilvl="3">
      <w:start w:val="1"/>
      <w:numFmt w:val="bullet"/>
      <w:lvlText w:val=""/>
      <w:lvlJc w:val="left"/>
      <w:pPr>
        <w:tabs>
          <w:tab w:val="num" w:pos="1826"/>
        </w:tabs>
        <w:ind w:left="1826" w:hanging="357"/>
      </w:pPr>
      <w:rPr>
        <w:rFonts w:ascii="Symbol" w:hAnsi="Symbol" w:hint="default"/>
        <w:color w:val="0097BA"/>
      </w:rPr>
    </w:lvl>
    <w:lvl w:ilvl="4">
      <w:start w:val="1"/>
      <w:numFmt w:val="bullet"/>
      <w:lvlText w:val=""/>
      <w:lvlJc w:val="left"/>
      <w:pPr>
        <w:tabs>
          <w:tab w:val="num" w:pos="2183"/>
        </w:tabs>
        <w:ind w:left="2183" w:hanging="357"/>
      </w:pPr>
      <w:rPr>
        <w:rFonts w:ascii="Symbol" w:hAnsi="Symbol" w:hint="default"/>
        <w:color w:val="0097B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8C4241"/>
    <w:multiLevelType w:val="hybridMultilevel"/>
    <w:tmpl w:val="B636C84C"/>
    <w:lvl w:ilvl="0" w:tplc="DAB01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D559E"/>
    <w:multiLevelType w:val="multilevel"/>
    <w:tmpl w:val="03B20CF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BA6653"/>
    <w:multiLevelType w:val="multilevel"/>
    <w:tmpl w:val="5D7E22CA"/>
    <w:numStyleLink w:val="DownerNumberedList"/>
  </w:abstractNum>
  <w:abstractNum w:abstractNumId="23" w15:restartNumberingAfterBreak="0">
    <w:nsid w:val="62E53133"/>
    <w:multiLevelType w:val="hybridMultilevel"/>
    <w:tmpl w:val="8676BEB2"/>
    <w:lvl w:ilvl="0" w:tplc="3FE80442">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3D9B"/>
    <w:multiLevelType w:val="multilevel"/>
    <w:tmpl w:val="51E2C3EC"/>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FA5A77"/>
    <w:multiLevelType w:val="hybridMultilevel"/>
    <w:tmpl w:val="A05C975A"/>
    <w:lvl w:ilvl="0" w:tplc="F61C22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B4B705A"/>
    <w:multiLevelType w:val="hybridMultilevel"/>
    <w:tmpl w:val="2EA283FC"/>
    <w:lvl w:ilvl="0" w:tplc="DC7E812A">
      <w:start w:val="1"/>
      <w:numFmt w:val="bullet"/>
      <w:pStyle w:val="ListBullet3"/>
      <w:lvlText w:val=""/>
      <w:lvlJc w:val="left"/>
      <w:pPr>
        <w:ind w:left="1831" w:hanging="360"/>
      </w:pPr>
      <w:rPr>
        <w:rFonts w:ascii="Symbol" w:hAnsi="Symbol" w:hint="default"/>
        <w:color w:val="080808"/>
      </w:rPr>
    </w:lvl>
    <w:lvl w:ilvl="1" w:tplc="04090003" w:tentative="1">
      <w:start w:val="1"/>
      <w:numFmt w:val="bullet"/>
      <w:lvlText w:val="o"/>
      <w:lvlJc w:val="left"/>
      <w:pPr>
        <w:ind w:left="2551" w:hanging="360"/>
      </w:pPr>
      <w:rPr>
        <w:rFonts w:ascii="Courier New" w:hAnsi="Courier New" w:cs="Courier New" w:hint="default"/>
      </w:rPr>
    </w:lvl>
    <w:lvl w:ilvl="2" w:tplc="04090005" w:tentative="1">
      <w:start w:val="1"/>
      <w:numFmt w:val="bullet"/>
      <w:lvlText w:val=""/>
      <w:lvlJc w:val="left"/>
      <w:pPr>
        <w:ind w:left="3271" w:hanging="360"/>
      </w:pPr>
      <w:rPr>
        <w:rFonts w:ascii="Wingdings" w:hAnsi="Wingdings" w:hint="default"/>
      </w:rPr>
    </w:lvl>
    <w:lvl w:ilvl="3" w:tplc="04090001" w:tentative="1">
      <w:start w:val="1"/>
      <w:numFmt w:val="bullet"/>
      <w:lvlText w:val=""/>
      <w:lvlJc w:val="left"/>
      <w:pPr>
        <w:ind w:left="3991" w:hanging="360"/>
      </w:pPr>
      <w:rPr>
        <w:rFonts w:ascii="Symbol" w:hAnsi="Symbol" w:hint="default"/>
      </w:rPr>
    </w:lvl>
    <w:lvl w:ilvl="4" w:tplc="04090003" w:tentative="1">
      <w:start w:val="1"/>
      <w:numFmt w:val="bullet"/>
      <w:lvlText w:val="o"/>
      <w:lvlJc w:val="left"/>
      <w:pPr>
        <w:ind w:left="4711" w:hanging="360"/>
      </w:pPr>
      <w:rPr>
        <w:rFonts w:ascii="Courier New" w:hAnsi="Courier New" w:cs="Courier New" w:hint="default"/>
      </w:rPr>
    </w:lvl>
    <w:lvl w:ilvl="5" w:tplc="04090005" w:tentative="1">
      <w:start w:val="1"/>
      <w:numFmt w:val="bullet"/>
      <w:lvlText w:val=""/>
      <w:lvlJc w:val="left"/>
      <w:pPr>
        <w:ind w:left="5431" w:hanging="360"/>
      </w:pPr>
      <w:rPr>
        <w:rFonts w:ascii="Wingdings" w:hAnsi="Wingdings" w:hint="default"/>
      </w:rPr>
    </w:lvl>
    <w:lvl w:ilvl="6" w:tplc="04090001" w:tentative="1">
      <w:start w:val="1"/>
      <w:numFmt w:val="bullet"/>
      <w:lvlText w:val=""/>
      <w:lvlJc w:val="left"/>
      <w:pPr>
        <w:ind w:left="6151" w:hanging="360"/>
      </w:pPr>
      <w:rPr>
        <w:rFonts w:ascii="Symbol" w:hAnsi="Symbol" w:hint="default"/>
      </w:rPr>
    </w:lvl>
    <w:lvl w:ilvl="7" w:tplc="04090003" w:tentative="1">
      <w:start w:val="1"/>
      <w:numFmt w:val="bullet"/>
      <w:lvlText w:val="o"/>
      <w:lvlJc w:val="left"/>
      <w:pPr>
        <w:ind w:left="6871" w:hanging="360"/>
      </w:pPr>
      <w:rPr>
        <w:rFonts w:ascii="Courier New" w:hAnsi="Courier New" w:cs="Courier New" w:hint="default"/>
      </w:rPr>
    </w:lvl>
    <w:lvl w:ilvl="8" w:tplc="04090005" w:tentative="1">
      <w:start w:val="1"/>
      <w:numFmt w:val="bullet"/>
      <w:lvlText w:val=""/>
      <w:lvlJc w:val="left"/>
      <w:pPr>
        <w:ind w:left="7591" w:hanging="360"/>
      </w:pPr>
      <w:rPr>
        <w:rFonts w:ascii="Wingdings" w:hAnsi="Wingdings" w:hint="default"/>
      </w:rPr>
    </w:lvl>
  </w:abstractNum>
  <w:abstractNum w:abstractNumId="27" w15:restartNumberingAfterBreak="0">
    <w:nsid w:val="6B5328C3"/>
    <w:multiLevelType w:val="multilevel"/>
    <w:tmpl w:val="6CF8F1B4"/>
    <w:lvl w:ilvl="0">
      <w:start w:val="1"/>
      <w:numFmt w:val="decimal"/>
      <w:pStyle w:val="TCH2"/>
      <w:lvlText w:val="%1"/>
      <w:lvlJc w:val="left"/>
      <w:pPr>
        <w:ind w:left="680" w:hanging="680"/>
      </w:pPr>
      <w:rPr>
        <w:rFonts w:ascii="Arial" w:hAnsi="Arial" w:cs="Arial" w:hint="default"/>
        <w:b/>
        <w:i w:val="0"/>
        <w:sz w:val="20"/>
        <w:szCs w:val="20"/>
      </w:rPr>
    </w:lvl>
    <w:lvl w:ilvl="1">
      <w:start w:val="1"/>
      <w:numFmt w:val="decimal"/>
      <w:pStyle w:val="TCH3"/>
      <w:lvlText w:val="%2."/>
      <w:lvlJc w:val="left"/>
      <w:pPr>
        <w:ind w:left="360" w:hanging="360"/>
      </w:pPr>
      <w:rPr>
        <w:rFonts w:hint="default"/>
        <w:b/>
        <w:i w:val="0"/>
        <w:sz w:val="17"/>
      </w:rPr>
    </w:lvl>
    <w:lvl w:ilvl="2">
      <w:start w:val="1"/>
      <w:numFmt w:val="lowerLetter"/>
      <w:pStyle w:val="TCLevel1"/>
      <w:lvlText w:val="(%3)"/>
      <w:lvlJc w:val="left"/>
      <w:pPr>
        <w:ind w:left="360" w:hanging="360"/>
      </w:pPr>
      <w:rPr>
        <w:rFonts w:hint="default"/>
        <w:sz w:val="16"/>
        <w:szCs w:val="16"/>
      </w:rPr>
    </w:lvl>
    <w:lvl w:ilvl="3">
      <w:start w:val="1"/>
      <w:numFmt w:val="lowerRoman"/>
      <w:pStyle w:val="TCLevel2"/>
      <w:lvlText w:val="(%4)"/>
      <w:lvlJc w:val="left"/>
      <w:pPr>
        <w:ind w:left="1361" w:hanging="681"/>
      </w:pPr>
      <w:rPr>
        <w:rFonts w:ascii="Calibri" w:hAnsi="Calibri" w:hint="default"/>
        <w:b w:val="0"/>
        <w:i w:val="0"/>
        <w:sz w:val="17"/>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D746DE"/>
    <w:multiLevelType w:val="multilevel"/>
    <w:tmpl w:val="FD46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C5BB1"/>
    <w:multiLevelType w:val="multilevel"/>
    <w:tmpl w:val="FD2E6B9C"/>
    <w:styleLink w:val="HMIListNumbers"/>
    <w:lvl w:ilvl="0">
      <w:start w:val="1"/>
      <w:numFmt w:val="decimal"/>
      <w:pStyle w:val="ListNumber"/>
      <w:lvlText w:val="%1."/>
      <w:lvlJc w:val="right"/>
      <w:pPr>
        <w:ind w:left="740" w:hanging="360"/>
      </w:pPr>
      <w:rPr>
        <w:rFonts w:hint="default"/>
        <w:color w:val="080808"/>
      </w:rPr>
    </w:lvl>
    <w:lvl w:ilvl="1">
      <w:start w:val="1"/>
      <w:numFmt w:val="lowerLetter"/>
      <w:lvlText w:val="%2."/>
      <w:lvlJc w:val="left"/>
      <w:pPr>
        <w:tabs>
          <w:tab w:val="num" w:pos="1111"/>
        </w:tabs>
        <w:ind w:left="1111" w:hanging="357"/>
      </w:pPr>
      <w:rPr>
        <w:rFonts w:hint="default"/>
        <w:color w:val="0097BA"/>
      </w:rPr>
    </w:lvl>
    <w:lvl w:ilvl="2">
      <w:start w:val="1"/>
      <w:numFmt w:val="lowerRoman"/>
      <w:lvlText w:val="%3."/>
      <w:lvlJc w:val="left"/>
      <w:pPr>
        <w:tabs>
          <w:tab w:val="num" w:pos="1469"/>
        </w:tabs>
        <w:ind w:left="1469" w:hanging="358"/>
      </w:pPr>
      <w:rPr>
        <w:rFonts w:hint="default"/>
        <w:color w:val="0097B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4"/>
  </w:num>
  <w:num w:numId="3">
    <w:abstractNumId w:val="19"/>
  </w:num>
  <w:num w:numId="4">
    <w:abstractNumId w:val="29"/>
  </w:num>
  <w:num w:numId="5">
    <w:abstractNumId w:val="19"/>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num>
  <w:num w:numId="14">
    <w:abstractNumId w:val="9"/>
  </w:num>
  <w:num w:numId="15">
    <w:abstractNumId w:val="10"/>
  </w:num>
  <w:num w:numId="16">
    <w:abstractNumId w:val="15"/>
  </w:num>
  <w:num w:numId="17">
    <w:abstractNumId w:val="16"/>
  </w:num>
  <w:num w:numId="18">
    <w:abstractNumId w:val="0"/>
  </w:num>
  <w:num w:numId="19">
    <w:abstractNumId w:val="18"/>
  </w:num>
  <w:num w:numId="20">
    <w:abstractNumId w:val="18"/>
    <w:lvlOverride w:ilvl="0">
      <w:startOverride w:val="1"/>
    </w:lvlOverride>
  </w:num>
  <w:num w:numId="21">
    <w:abstractNumId w:val="3"/>
  </w:num>
  <w:num w:numId="22">
    <w:abstractNumId w:val="3"/>
    <w:lvlOverride w:ilvl="0">
      <w:startOverride w:val="1"/>
    </w:lvlOverride>
  </w:num>
  <w:num w:numId="23">
    <w:abstractNumId w:val="1"/>
  </w:num>
  <w:num w:numId="24">
    <w:abstractNumId w:val="8"/>
  </w:num>
  <w:num w:numId="25">
    <w:abstractNumId w:val="23"/>
  </w:num>
  <w:num w:numId="26">
    <w:abstractNumId w:val="27"/>
  </w:num>
  <w:num w:numId="27">
    <w:abstractNumId w:val="12"/>
  </w:num>
  <w:num w:numId="28">
    <w:abstractNumId w:val="22"/>
    <w:lvlOverride w:ilvl="0">
      <w:startOverride w:val="1"/>
      <w:lvl w:ilvl="0">
        <w:start w:val="1"/>
        <w:numFmt w:val="decimal"/>
        <w:lvlText w:val="%1"/>
        <w:lvlJc w:val="left"/>
        <w:pPr>
          <w:ind w:left="567" w:hanging="567"/>
        </w:pPr>
        <w:rPr>
          <w:rFonts w:ascii="Arial Bold" w:hAnsi="Arial Bold" w:hint="default"/>
          <w:b/>
          <w:caps/>
          <w:smallCaps w:val="0"/>
          <w:sz w:val="16"/>
        </w:rPr>
      </w:lvl>
    </w:lvlOverride>
    <w:lvlOverride w:ilvl="1">
      <w:startOverride w:val="1"/>
      <w:lvl w:ilvl="1">
        <w:start w:val="1"/>
        <w:numFmt w:val="decimal"/>
        <w:pStyle w:val="DownerListNumber2"/>
        <w:lvlText w:val="%1.%2"/>
        <w:lvlJc w:val="left"/>
        <w:pPr>
          <w:ind w:left="567" w:hanging="567"/>
        </w:pPr>
        <w:rPr>
          <w:rFonts w:ascii="Arial Bold" w:hAnsi="Arial Bold" w:hint="default"/>
          <w:b/>
          <w:i w:val="0"/>
          <w:sz w:val="16"/>
        </w:rPr>
      </w:lvl>
    </w:lvlOverride>
    <w:lvlOverride w:ilvl="2">
      <w:startOverride w:val="1"/>
      <w:lvl w:ilvl="2">
        <w:start w:val="1"/>
        <w:numFmt w:val="none"/>
        <w:suff w:val="nothing"/>
        <w:lvlText w:val="%3"/>
        <w:lvlJc w:val="left"/>
        <w:pPr>
          <w:ind w:left="0" w:firstLine="0"/>
        </w:pPr>
        <w:rPr>
          <w:rFonts w:ascii="Arial" w:hAnsi="Arial" w:hint="default"/>
          <w:sz w:val="16"/>
        </w:rPr>
      </w:lvl>
    </w:lvlOverride>
    <w:lvlOverride w:ilvl="3">
      <w:startOverride w:val="1"/>
      <w:lvl w:ilvl="3">
        <w:start w:val="1"/>
        <w:numFmt w:val="lowerLetter"/>
        <w:pStyle w:val="DownerListNumber4"/>
        <w:lvlText w:val="(%4)"/>
        <w:lvlJc w:val="left"/>
        <w:pPr>
          <w:ind w:left="567" w:hanging="567"/>
        </w:pPr>
        <w:rPr>
          <w:rFonts w:ascii="Arial" w:hAnsi="Arial" w:hint="default"/>
          <w:sz w:val="16"/>
        </w:rPr>
      </w:lvl>
    </w:lvlOverride>
    <w:lvlOverride w:ilvl="4">
      <w:startOverride w:val="1"/>
      <w:lvl w:ilvl="4">
        <w:start w:val="1"/>
        <w:numFmt w:val="lowerRoman"/>
        <w:pStyle w:val="DownerListNumber5"/>
        <w:lvlText w:val="(%5)"/>
        <w:lvlJc w:val="left"/>
        <w:pPr>
          <w:ind w:left="1134" w:hanging="567"/>
        </w:pPr>
        <w:rPr>
          <w:rFonts w:ascii="Arial" w:hAnsi="Arial" w:hint="default"/>
          <w:sz w:val="16"/>
        </w:rPr>
      </w:lvl>
    </w:lvlOverride>
    <w:lvlOverride w:ilvl="5">
      <w:startOverride w:val="1"/>
      <w:lvl w:ilvl="5">
        <w:start w:val="1"/>
        <w:numFmt w:val="upperLetter"/>
        <w:pStyle w:val="DownerListNumber6"/>
        <w:lvlText w:val="(%6)"/>
        <w:lvlJc w:val="left"/>
        <w:pPr>
          <w:ind w:left="1701" w:hanging="567"/>
        </w:pPr>
        <w:rPr>
          <w:rFonts w:ascii="Arial" w:hAnsi="Arial" w:hint="default"/>
          <w:sz w:val="16"/>
        </w:rPr>
      </w:lvl>
    </w:lvlOverride>
    <w:lvlOverride w:ilvl="6">
      <w:startOverride w:val="1"/>
      <w:lvl w:ilvl="6">
        <w:start w:val="1"/>
        <w:numFmt w:val="decimal"/>
        <w:lvlText w:val="%7."/>
        <w:lvlJc w:val="left"/>
        <w:pPr>
          <w:tabs>
            <w:tab w:val="num" w:pos="8225"/>
          </w:tabs>
          <w:ind w:left="567" w:hanging="567"/>
        </w:pPr>
        <w:rPr>
          <w:rFonts w:hint="default"/>
        </w:rPr>
      </w:lvl>
    </w:lvlOverride>
    <w:lvlOverride w:ilvl="7">
      <w:startOverride w:val="1"/>
      <w:lvl w:ilvl="7">
        <w:start w:val="1"/>
        <w:numFmt w:val="lowerLetter"/>
        <w:lvlText w:val="%8."/>
        <w:lvlJc w:val="left"/>
        <w:pPr>
          <w:tabs>
            <w:tab w:val="num" w:pos="9076"/>
          </w:tabs>
          <w:ind w:left="567" w:hanging="567"/>
        </w:pPr>
        <w:rPr>
          <w:rFonts w:hint="default"/>
        </w:rPr>
      </w:lvl>
    </w:lvlOverride>
    <w:lvlOverride w:ilvl="8">
      <w:startOverride w:val="1"/>
      <w:lvl w:ilvl="8">
        <w:start w:val="1"/>
        <w:numFmt w:val="lowerRoman"/>
        <w:lvlText w:val="%9."/>
        <w:lvlJc w:val="left"/>
        <w:pPr>
          <w:tabs>
            <w:tab w:val="num" w:pos="9927"/>
          </w:tabs>
          <w:ind w:left="567" w:hanging="567"/>
        </w:pPr>
        <w:rPr>
          <w:rFonts w:hint="default"/>
        </w:rPr>
      </w:lvl>
    </w:lvlOverride>
  </w:num>
  <w:num w:numId="29">
    <w:abstractNumId w:val="7"/>
  </w:num>
  <w:num w:numId="30">
    <w:abstractNumId w:val="24"/>
  </w:num>
  <w:num w:numId="31">
    <w:abstractNumId w:val="13"/>
  </w:num>
  <w:num w:numId="32">
    <w:abstractNumId w:val="28"/>
  </w:num>
  <w:num w:numId="33">
    <w:abstractNumId w:val="2"/>
  </w:num>
  <w:num w:numId="34">
    <w:abstractNumId w:val="4"/>
  </w:num>
  <w:num w:numId="35">
    <w:abstractNumId w:val="17"/>
  </w:num>
  <w:num w:numId="36">
    <w:abstractNumId w:val="25"/>
  </w:num>
  <w:num w:numId="37">
    <w:abstractNumId w:val="6"/>
  </w:num>
  <w:num w:numId="38">
    <w:abstractNumId w:val="20"/>
  </w:num>
  <w:num w:numId="39">
    <w:abstractNumId w:val="5"/>
  </w:num>
  <w:num w:numId="40">
    <w:abstractNumId w:val="22"/>
    <w:lvlOverride w:ilvl="0">
      <w:lvl w:ilvl="0">
        <w:start w:val="1"/>
        <w:numFmt w:val="decimal"/>
        <w:lvlText w:val="%1"/>
        <w:lvlJc w:val="left"/>
        <w:pPr>
          <w:ind w:left="567" w:hanging="567"/>
        </w:pPr>
        <w:rPr>
          <w:rFonts w:ascii="Arial Bold" w:hAnsi="Arial Bold" w:hint="default"/>
          <w:b/>
          <w:caps/>
          <w:smallCaps w:val="0"/>
          <w:sz w:val="16"/>
        </w:rPr>
      </w:lvl>
    </w:lvlOverride>
    <w:lvlOverride w:ilvl="1">
      <w:lvl w:ilvl="1">
        <w:start w:val="1"/>
        <w:numFmt w:val="decimal"/>
        <w:pStyle w:val="DownerListNumber2"/>
        <w:lvlText w:val="%1.%2"/>
        <w:lvlJc w:val="left"/>
        <w:pPr>
          <w:ind w:left="567" w:hanging="567"/>
        </w:pPr>
        <w:rPr>
          <w:rFonts w:ascii="Arial Bold" w:hAnsi="Arial Bold" w:hint="default"/>
          <w:b/>
          <w:i w:val="0"/>
          <w:sz w:val="16"/>
        </w:rPr>
      </w:lvl>
    </w:lvlOverride>
    <w:lvlOverride w:ilvl="2">
      <w:lvl w:ilvl="2">
        <w:start w:val="1"/>
        <w:numFmt w:val="decimal"/>
        <w:suff w:val="nothing"/>
        <w:lvlText w:val="%3"/>
        <w:lvlJc w:val="left"/>
        <w:pPr>
          <w:ind w:left="0" w:firstLine="0"/>
        </w:pPr>
        <w:rPr>
          <w:rFonts w:ascii="Arial" w:hAnsi="Arial" w:cs="Times New Roman" w:hint="default"/>
          <w:sz w:val="16"/>
        </w:rPr>
      </w:lvl>
    </w:lvlOverride>
    <w:lvlOverride w:ilvl="3">
      <w:lvl w:ilvl="3">
        <w:start w:val="1"/>
        <w:numFmt w:val="decimal"/>
        <w:pStyle w:val="DownerListNumber4"/>
        <w:lvlText w:val="(%4)"/>
        <w:lvlJc w:val="left"/>
        <w:pPr>
          <w:ind w:left="567" w:hanging="567"/>
        </w:pPr>
        <w:rPr>
          <w:rFonts w:ascii="Arial" w:hAnsi="Arial" w:cs="Times New Roman" w:hint="default"/>
          <w:sz w:val="16"/>
        </w:rPr>
      </w:lvl>
    </w:lvlOverride>
    <w:lvlOverride w:ilvl="4">
      <w:lvl w:ilvl="4">
        <w:start w:val="1"/>
        <w:numFmt w:val="decimal"/>
        <w:pStyle w:val="DownerListNumber5"/>
        <w:lvlText w:val="(%5)"/>
        <w:lvlJc w:val="left"/>
        <w:pPr>
          <w:ind w:left="1134" w:hanging="567"/>
        </w:pPr>
        <w:rPr>
          <w:rFonts w:ascii="Arial" w:hAnsi="Arial" w:cs="Times New Roman" w:hint="default"/>
          <w:sz w:val="16"/>
        </w:rPr>
      </w:lvl>
    </w:lvlOverride>
    <w:lvlOverride w:ilvl="5">
      <w:lvl w:ilvl="5">
        <w:start w:val="1"/>
        <w:numFmt w:val="decimal"/>
        <w:pStyle w:val="DownerListNumber6"/>
        <w:lvlText w:val="(%6)"/>
        <w:lvlJc w:val="left"/>
        <w:pPr>
          <w:ind w:left="1701" w:hanging="567"/>
        </w:pPr>
        <w:rPr>
          <w:rFonts w:ascii="Arial" w:hAnsi="Arial" w:cs="Times New Roman" w:hint="default"/>
          <w:sz w:val="16"/>
        </w:rPr>
      </w:lvl>
    </w:lvlOverride>
    <w:lvlOverride w:ilvl="6">
      <w:lvl w:ilvl="6">
        <w:start w:val="1"/>
        <w:numFmt w:val="decimal"/>
        <w:lvlText w:val="%7."/>
        <w:lvlJc w:val="left"/>
        <w:pPr>
          <w:tabs>
            <w:tab w:val="num" w:pos="8225"/>
          </w:tabs>
          <w:ind w:left="567" w:hanging="567"/>
        </w:pPr>
      </w:lvl>
    </w:lvlOverride>
    <w:lvlOverride w:ilvl="7">
      <w:lvl w:ilvl="7">
        <w:start w:val="1"/>
        <w:numFmt w:val="decimal"/>
        <w:lvlText w:val="%8."/>
        <w:lvlJc w:val="left"/>
        <w:pPr>
          <w:tabs>
            <w:tab w:val="num" w:pos="9076"/>
          </w:tabs>
          <w:ind w:left="567" w:hanging="567"/>
        </w:pPr>
      </w:lvl>
    </w:lvlOverride>
    <w:lvlOverride w:ilvl="8">
      <w:lvl w:ilvl="8">
        <w:start w:val="1"/>
        <w:numFmt w:val="decimal"/>
        <w:lvlText w:val="%9."/>
        <w:lvlJc w:val="left"/>
        <w:pPr>
          <w:tabs>
            <w:tab w:val="num" w:pos="9927"/>
          </w:tabs>
          <w:ind w:left="567" w:hanging="567"/>
        </w:pPr>
      </w:lvl>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50"/>
    <w:rsid w:val="00010EEC"/>
    <w:rsid w:val="00022435"/>
    <w:rsid w:val="00024BF0"/>
    <w:rsid w:val="000533A6"/>
    <w:rsid w:val="00060C86"/>
    <w:rsid w:val="0006411C"/>
    <w:rsid w:val="000646C9"/>
    <w:rsid w:val="00077D80"/>
    <w:rsid w:val="000D1D6B"/>
    <w:rsid w:val="000F3C71"/>
    <w:rsid w:val="00115535"/>
    <w:rsid w:val="00125FF5"/>
    <w:rsid w:val="00133586"/>
    <w:rsid w:val="00194172"/>
    <w:rsid w:val="001A02B5"/>
    <w:rsid w:val="001E03C5"/>
    <w:rsid w:val="001E536B"/>
    <w:rsid w:val="001E60B5"/>
    <w:rsid w:val="001F6A30"/>
    <w:rsid w:val="00220D05"/>
    <w:rsid w:val="00224093"/>
    <w:rsid w:val="00271905"/>
    <w:rsid w:val="00280D87"/>
    <w:rsid w:val="0028222A"/>
    <w:rsid w:val="002864CB"/>
    <w:rsid w:val="002D6E9B"/>
    <w:rsid w:val="00303628"/>
    <w:rsid w:val="00314196"/>
    <w:rsid w:val="003177CE"/>
    <w:rsid w:val="003224EF"/>
    <w:rsid w:val="00322963"/>
    <w:rsid w:val="00342691"/>
    <w:rsid w:val="00344453"/>
    <w:rsid w:val="003A4564"/>
    <w:rsid w:val="003B08E9"/>
    <w:rsid w:val="003B3120"/>
    <w:rsid w:val="003B73F9"/>
    <w:rsid w:val="003C0BC2"/>
    <w:rsid w:val="003D2A3E"/>
    <w:rsid w:val="003E5482"/>
    <w:rsid w:val="003E5C41"/>
    <w:rsid w:val="00400B06"/>
    <w:rsid w:val="00400FDB"/>
    <w:rsid w:val="00402A0C"/>
    <w:rsid w:val="00412DBD"/>
    <w:rsid w:val="004147F8"/>
    <w:rsid w:val="0044307F"/>
    <w:rsid w:val="00483728"/>
    <w:rsid w:val="004A3D92"/>
    <w:rsid w:val="004B0FEB"/>
    <w:rsid w:val="004C1F9C"/>
    <w:rsid w:val="004D73B0"/>
    <w:rsid w:val="004F2B0B"/>
    <w:rsid w:val="004F7C30"/>
    <w:rsid w:val="005110E7"/>
    <w:rsid w:val="00554409"/>
    <w:rsid w:val="00576342"/>
    <w:rsid w:val="00586765"/>
    <w:rsid w:val="005A0708"/>
    <w:rsid w:val="005C78B8"/>
    <w:rsid w:val="005C7D9E"/>
    <w:rsid w:val="005D0866"/>
    <w:rsid w:val="005E384B"/>
    <w:rsid w:val="006161B4"/>
    <w:rsid w:val="00624C10"/>
    <w:rsid w:val="006B72AD"/>
    <w:rsid w:val="006C610F"/>
    <w:rsid w:val="006F3A4A"/>
    <w:rsid w:val="00711AC0"/>
    <w:rsid w:val="00711B18"/>
    <w:rsid w:val="00723460"/>
    <w:rsid w:val="00772261"/>
    <w:rsid w:val="00782227"/>
    <w:rsid w:val="007A4F4E"/>
    <w:rsid w:val="0080096A"/>
    <w:rsid w:val="0080330C"/>
    <w:rsid w:val="00840E7E"/>
    <w:rsid w:val="008500E4"/>
    <w:rsid w:val="00884177"/>
    <w:rsid w:val="0089687A"/>
    <w:rsid w:val="008C7161"/>
    <w:rsid w:val="008D64B0"/>
    <w:rsid w:val="008F22A5"/>
    <w:rsid w:val="00965318"/>
    <w:rsid w:val="009925A5"/>
    <w:rsid w:val="009A3EA3"/>
    <w:rsid w:val="009A4AD0"/>
    <w:rsid w:val="009B11F4"/>
    <w:rsid w:val="009C4B96"/>
    <w:rsid w:val="009D1914"/>
    <w:rsid w:val="009D6F66"/>
    <w:rsid w:val="009E4522"/>
    <w:rsid w:val="009F1AFC"/>
    <w:rsid w:val="00A137CA"/>
    <w:rsid w:val="00A2584F"/>
    <w:rsid w:val="00A33657"/>
    <w:rsid w:val="00A3501E"/>
    <w:rsid w:val="00A67C91"/>
    <w:rsid w:val="00A70FA5"/>
    <w:rsid w:val="00A71F1D"/>
    <w:rsid w:val="00A817E9"/>
    <w:rsid w:val="00AB5633"/>
    <w:rsid w:val="00B145FF"/>
    <w:rsid w:val="00B57080"/>
    <w:rsid w:val="00B65F18"/>
    <w:rsid w:val="00BC2055"/>
    <w:rsid w:val="00BC31DB"/>
    <w:rsid w:val="00BC39E0"/>
    <w:rsid w:val="00BD7683"/>
    <w:rsid w:val="00C01797"/>
    <w:rsid w:val="00C056D1"/>
    <w:rsid w:val="00C113D5"/>
    <w:rsid w:val="00C11AB8"/>
    <w:rsid w:val="00C439FD"/>
    <w:rsid w:val="00C44350"/>
    <w:rsid w:val="00C459CC"/>
    <w:rsid w:val="00C97E2B"/>
    <w:rsid w:val="00D02AE9"/>
    <w:rsid w:val="00D55E60"/>
    <w:rsid w:val="00DC4D0A"/>
    <w:rsid w:val="00E6117E"/>
    <w:rsid w:val="00E66356"/>
    <w:rsid w:val="00EA4917"/>
    <w:rsid w:val="00EB0EBC"/>
    <w:rsid w:val="00EC0FD1"/>
    <w:rsid w:val="00EC2AAD"/>
    <w:rsid w:val="00EC7365"/>
    <w:rsid w:val="00ED2EDA"/>
    <w:rsid w:val="00F14B2E"/>
    <w:rsid w:val="00F16315"/>
    <w:rsid w:val="00F2363B"/>
    <w:rsid w:val="00F72396"/>
    <w:rsid w:val="00F8329D"/>
    <w:rsid w:val="00FA6ECA"/>
    <w:rsid w:val="00FA7F5A"/>
    <w:rsid w:val="00FD4DB7"/>
    <w:rsid w:val="00FE141F"/>
    <w:rsid w:val="00FE1BAE"/>
    <w:rsid w:val="00FE62D8"/>
    <w:rsid w:val="00FE7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FB9D"/>
  <w15:chartTrackingRefBased/>
  <w15:docId w15:val="{8AB3CD20-3C57-4691-95C1-93C07272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C"/>
    <w:pPr>
      <w:spacing w:line="240" w:lineRule="auto"/>
    </w:pPr>
    <w:rPr>
      <w:rFonts w:ascii="Arial" w:hAnsi="Arial"/>
      <w:color w:val="333333"/>
      <w:sz w:val="20"/>
      <w:lang w:val="en-GB"/>
    </w:rPr>
  </w:style>
  <w:style w:type="paragraph" w:styleId="Heading1">
    <w:name w:val="heading 1"/>
    <w:next w:val="BodyText"/>
    <w:link w:val="Heading1Char"/>
    <w:qFormat/>
    <w:rsid w:val="00303628"/>
    <w:pPr>
      <w:spacing w:after="140" w:line="240" w:lineRule="auto"/>
      <w:contextualSpacing/>
      <w:outlineLvl w:val="0"/>
    </w:pPr>
    <w:rPr>
      <w:rFonts w:ascii="Arial" w:hAnsi="Arial"/>
      <w:b/>
      <w:color w:val="080808"/>
      <w:sz w:val="45"/>
      <w:szCs w:val="18"/>
      <w:lang w:val="en-GB"/>
    </w:rPr>
  </w:style>
  <w:style w:type="paragraph" w:styleId="Heading2">
    <w:name w:val="heading 2"/>
    <w:basedOn w:val="BodyTextNoSpacing"/>
    <w:next w:val="BodyText"/>
    <w:link w:val="Heading2Char"/>
    <w:qFormat/>
    <w:rsid w:val="004F7C30"/>
    <w:pPr>
      <w:spacing w:before="300" w:after="80"/>
      <w:contextualSpacing/>
      <w:outlineLvl w:val="1"/>
    </w:pPr>
    <w:rPr>
      <w:sz w:val="25"/>
    </w:rPr>
  </w:style>
  <w:style w:type="paragraph" w:styleId="Heading3">
    <w:name w:val="heading 3"/>
    <w:basedOn w:val="BodyTextNoSpacing"/>
    <w:next w:val="BodyText"/>
    <w:link w:val="Heading3Char"/>
    <w:qFormat/>
    <w:rsid w:val="00303628"/>
    <w:pPr>
      <w:spacing w:before="300" w:after="100"/>
      <w:contextualSpacing/>
      <w:outlineLvl w:val="2"/>
    </w:pPr>
    <w:rPr>
      <w:sz w:val="23"/>
    </w:rPr>
  </w:style>
  <w:style w:type="paragraph" w:styleId="Heading4">
    <w:name w:val="heading 4"/>
    <w:next w:val="BodyText"/>
    <w:link w:val="Heading4Char"/>
    <w:qFormat/>
    <w:rsid w:val="004F7C30"/>
    <w:pPr>
      <w:spacing w:before="230" w:after="100" w:line="240" w:lineRule="auto"/>
      <w:contextualSpacing/>
      <w:outlineLvl w:val="3"/>
    </w:pPr>
    <w:rPr>
      <w:rFonts w:ascii="Arial" w:hAnsi="Arial"/>
      <w:color w:val="080808"/>
      <w:sz w:val="20"/>
      <w:szCs w:val="18"/>
      <w:lang w:val="en-GB"/>
    </w:rPr>
  </w:style>
  <w:style w:type="paragraph" w:styleId="Heading5">
    <w:name w:val="heading 5"/>
    <w:basedOn w:val="Normal"/>
    <w:next w:val="BodyText"/>
    <w:link w:val="Heading5Char"/>
    <w:semiHidden/>
    <w:qFormat/>
    <w:rsid w:val="003D2A3E"/>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3D2A3E"/>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0BC2"/>
    <w:pPr>
      <w:spacing w:after="210"/>
    </w:pPr>
    <w:rPr>
      <w:color w:val="080808"/>
      <w:szCs w:val="18"/>
    </w:rPr>
  </w:style>
  <w:style w:type="character" w:customStyle="1" w:styleId="BodyTextChar">
    <w:name w:val="Body Text Char"/>
    <w:basedOn w:val="DefaultParagraphFont"/>
    <w:link w:val="BodyText"/>
    <w:rsid w:val="003C0BC2"/>
    <w:rPr>
      <w:rFonts w:ascii="Arial" w:hAnsi="Arial"/>
      <w:color w:val="080808"/>
      <w:sz w:val="20"/>
      <w:szCs w:val="18"/>
      <w:lang w:val="en-GB"/>
    </w:rPr>
  </w:style>
  <w:style w:type="numbering" w:customStyle="1" w:styleId="BulletList">
    <w:name w:val="Bullet List"/>
    <w:basedOn w:val="NoList"/>
    <w:uiPriority w:val="99"/>
    <w:rsid w:val="003D2A3E"/>
    <w:pPr>
      <w:numPr>
        <w:numId w:val="1"/>
      </w:numPr>
    </w:pPr>
  </w:style>
  <w:style w:type="paragraph" w:styleId="Footer">
    <w:name w:val="footer"/>
    <w:basedOn w:val="Normal"/>
    <w:link w:val="FooterChar"/>
    <w:uiPriority w:val="99"/>
    <w:rsid w:val="003A4564"/>
    <w:pPr>
      <w:tabs>
        <w:tab w:val="right" w:pos="9809"/>
      </w:tabs>
    </w:pPr>
    <w:rPr>
      <w:color w:val="545559"/>
      <w:sz w:val="23"/>
    </w:rPr>
  </w:style>
  <w:style w:type="character" w:customStyle="1" w:styleId="FooterChar">
    <w:name w:val="Footer Char"/>
    <w:basedOn w:val="DefaultParagraphFont"/>
    <w:link w:val="Footer"/>
    <w:uiPriority w:val="99"/>
    <w:rsid w:val="003A4564"/>
    <w:rPr>
      <w:rFonts w:ascii="Arial" w:hAnsi="Arial"/>
      <w:color w:val="545559"/>
      <w:sz w:val="23"/>
      <w:lang w:val="en-GB"/>
    </w:rPr>
  </w:style>
  <w:style w:type="paragraph" w:styleId="Header">
    <w:name w:val="header"/>
    <w:basedOn w:val="Normal"/>
    <w:link w:val="HeaderChar"/>
    <w:uiPriority w:val="99"/>
    <w:rsid w:val="001E60B5"/>
    <w:pPr>
      <w:tabs>
        <w:tab w:val="center" w:pos="4513"/>
        <w:tab w:val="right" w:pos="9026"/>
      </w:tabs>
      <w:ind w:left="3402"/>
      <w:jc w:val="right"/>
    </w:pPr>
    <w:rPr>
      <w:color w:val="080808"/>
      <w:sz w:val="23"/>
    </w:rPr>
  </w:style>
  <w:style w:type="character" w:customStyle="1" w:styleId="HeaderChar">
    <w:name w:val="Header Char"/>
    <w:basedOn w:val="DefaultParagraphFont"/>
    <w:link w:val="Header"/>
    <w:uiPriority w:val="99"/>
    <w:rsid w:val="001E60B5"/>
    <w:rPr>
      <w:rFonts w:ascii="Arial" w:hAnsi="Arial"/>
      <w:color w:val="080808"/>
      <w:sz w:val="23"/>
      <w:lang w:val="en-GB"/>
    </w:rPr>
  </w:style>
  <w:style w:type="character" w:customStyle="1" w:styleId="Heading1Char">
    <w:name w:val="Heading 1 Char"/>
    <w:basedOn w:val="DefaultParagraphFont"/>
    <w:link w:val="Heading1"/>
    <w:rsid w:val="00303628"/>
    <w:rPr>
      <w:rFonts w:ascii="Arial" w:hAnsi="Arial"/>
      <w:b/>
      <w:color w:val="080808"/>
      <w:sz w:val="45"/>
      <w:szCs w:val="18"/>
      <w:lang w:val="en-GB"/>
    </w:rPr>
  </w:style>
  <w:style w:type="character" w:customStyle="1" w:styleId="Heading2Char">
    <w:name w:val="Heading 2 Char"/>
    <w:basedOn w:val="DefaultParagraphFont"/>
    <w:link w:val="Heading2"/>
    <w:rsid w:val="004F7C30"/>
    <w:rPr>
      <w:rFonts w:ascii="Arial" w:hAnsi="Arial"/>
      <w:color w:val="080808"/>
      <w:sz w:val="25"/>
      <w:szCs w:val="18"/>
      <w:lang w:val="en-GB"/>
    </w:rPr>
  </w:style>
  <w:style w:type="character" w:customStyle="1" w:styleId="Heading3Char">
    <w:name w:val="Heading 3 Char"/>
    <w:basedOn w:val="DefaultParagraphFont"/>
    <w:link w:val="Heading3"/>
    <w:rsid w:val="00303628"/>
    <w:rPr>
      <w:rFonts w:ascii="Arial" w:hAnsi="Arial"/>
      <w:color w:val="080808"/>
      <w:sz w:val="23"/>
      <w:szCs w:val="18"/>
      <w:lang w:val="en-GB"/>
    </w:rPr>
  </w:style>
  <w:style w:type="character" w:customStyle="1" w:styleId="Heading4Char">
    <w:name w:val="Heading 4 Char"/>
    <w:basedOn w:val="DefaultParagraphFont"/>
    <w:link w:val="Heading4"/>
    <w:rsid w:val="004F7C30"/>
    <w:rPr>
      <w:rFonts w:ascii="Arial" w:hAnsi="Arial"/>
      <w:color w:val="080808"/>
      <w:sz w:val="20"/>
      <w:szCs w:val="18"/>
      <w:lang w:val="en-GB"/>
    </w:rPr>
  </w:style>
  <w:style w:type="character" w:customStyle="1" w:styleId="Heading5Char">
    <w:name w:val="Heading 5 Char"/>
    <w:basedOn w:val="DefaultParagraphFont"/>
    <w:link w:val="Heading5"/>
    <w:semiHidden/>
    <w:rsid w:val="00342691"/>
    <w:rPr>
      <w:rFonts w:asciiTheme="majorHAnsi" w:eastAsiaTheme="majorEastAsia" w:hAnsiTheme="majorHAnsi" w:cstheme="majorBidi"/>
      <w:i/>
      <w:color w:val="333333"/>
      <w:sz w:val="20"/>
      <w:lang w:val="en-GB"/>
    </w:rPr>
  </w:style>
  <w:style w:type="character" w:customStyle="1" w:styleId="Heading6Char">
    <w:name w:val="Heading 6 Char"/>
    <w:basedOn w:val="DefaultParagraphFont"/>
    <w:link w:val="Heading6"/>
    <w:semiHidden/>
    <w:rsid w:val="003D2A3E"/>
    <w:rPr>
      <w:rFonts w:asciiTheme="majorHAnsi" w:eastAsiaTheme="majorEastAsia" w:hAnsiTheme="majorHAnsi" w:cstheme="majorBidi"/>
      <w:b/>
      <w:color w:val="333333"/>
      <w:sz w:val="20"/>
      <w:lang w:val="en-GB"/>
    </w:rPr>
  </w:style>
  <w:style w:type="paragraph" w:styleId="List">
    <w:name w:val="List"/>
    <w:basedOn w:val="BodyText"/>
    <w:uiPriority w:val="1"/>
    <w:semiHidden/>
    <w:unhideWhenUsed/>
    <w:rsid w:val="003D2A3E"/>
    <w:pPr>
      <w:spacing w:before="100"/>
      <w:ind w:left="284" w:hanging="284"/>
    </w:pPr>
  </w:style>
  <w:style w:type="paragraph" w:styleId="List2">
    <w:name w:val="List 2"/>
    <w:basedOn w:val="BodyText"/>
    <w:uiPriority w:val="1"/>
    <w:semiHidden/>
    <w:unhideWhenUsed/>
    <w:rsid w:val="003D2A3E"/>
    <w:pPr>
      <w:ind w:left="567"/>
    </w:pPr>
  </w:style>
  <w:style w:type="paragraph" w:styleId="List3">
    <w:name w:val="List 3"/>
    <w:basedOn w:val="BodyText"/>
    <w:uiPriority w:val="1"/>
    <w:semiHidden/>
    <w:unhideWhenUsed/>
    <w:rsid w:val="003D2A3E"/>
    <w:pPr>
      <w:ind w:left="851"/>
    </w:pPr>
  </w:style>
  <w:style w:type="paragraph" w:styleId="List4">
    <w:name w:val="List 4"/>
    <w:basedOn w:val="BodyText"/>
    <w:uiPriority w:val="1"/>
    <w:semiHidden/>
    <w:unhideWhenUsed/>
    <w:rsid w:val="003D2A3E"/>
    <w:pPr>
      <w:ind w:left="1134"/>
    </w:pPr>
  </w:style>
  <w:style w:type="paragraph" w:styleId="List5">
    <w:name w:val="List 5"/>
    <w:basedOn w:val="BodyText"/>
    <w:uiPriority w:val="1"/>
    <w:semiHidden/>
    <w:unhideWhenUsed/>
    <w:rsid w:val="003D2A3E"/>
    <w:pPr>
      <w:ind w:left="1418"/>
    </w:pPr>
  </w:style>
  <w:style w:type="paragraph" w:styleId="ListBullet">
    <w:name w:val="List Bullet"/>
    <w:qFormat/>
    <w:rsid w:val="00271905"/>
    <w:pPr>
      <w:numPr>
        <w:numId w:val="5"/>
      </w:numPr>
      <w:spacing w:after="210" w:line="240" w:lineRule="auto"/>
      <w:ind w:left="737" w:hanging="357"/>
      <w:contextualSpacing/>
    </w:pPr>
    <w:rPr>
      <w:rFonts w:ascii="Arial" w:hAnsi="Arial"/>
      <w:color w:val="080808"/>
      <w:sz w:val="18"/>
      <w:szCs w:val="18"/>
      <w:lang w:val="en-GB"/>
    </w:rPr>
  </w:style>
  <w:style w:type="paragraph" w:styleId="ListBullet2">
    <w:name w:val="List Bullet 2"/>
    <w:qFormat/>
    <w:rsid w:val="008500E4"/>
    <w:pPr>
      <w:numPr>
        <w:numId w:val="12"/>
      </w:numPr>
      <w:spacing w:after="210" w:line="240" w:lineRule="auto"/>
      <w:ind w:left="1134" w:hanging="357"/>
      <w:contextualSpacing/>
    </w:pPr>
    <w:rPr>
      <w:rFonts w:ascii="Arial" w:hAnsi="Arial"/>
      <w:color w:val="080808"/>
      <w:sz w:val="18"/>
      <w:szCs w:val="18"/>
      <w:lang w:val="en-GB"/>
    </w:rPr>
  </w:style>
  <w:style w:type="paragraph" w:styleId="ListBullet3">
    <w:name w:val="List Bullet 3"/>
    <w:qFormat/>
    <w:rsid w:val="008500E4"/>
    <w:pPr>
      <w:numPr>
        <w:numId w:val="13"/>
      </w:numPr>
      <w:spacing w:after="210" w:line="240" w:lineRule="auto"/>
      <w:ind w:left="1474" w:hanging="357"/>
      <w:contextualSpacing/>
    </w:pPr>
    <w:rPr>
      <w:rFonts w:ascii="Arial" w:hAnsi="Arial"/>
      <w:color w:val="080808"/>
      <w:sz w:val="18"/>
      <w:szCs w:val="18"/>
      <w:lang w:val="en-GB"/>
    </w:rPr>
  </w:style>
  <w:style w:type="paragraph" w:styleId="ListContinue">
    <w:name w:val="List Continue"/>
    <w:qFormat/>
    <w:rsid w:val="003B08E9"/>
    <w:pPr>
      <w:spacing w:after="210" w:line="240" w:lineRule="auto"/>
      <w:ind w:left="737"/>
      <w:contextualSpacing/>
    </w:pPr>
    <w:rPr>
      <w:rFonts w:ascii="Arial" w:hAnsi="Arial"/>
      <w:color w:val="080808"/>
      <w:sz w:val="18"/>
      <w:szCs w:val="18"/>
      <w:lang w:val="en-GB"/>
    </w:rPr>
  </w:style>
  <w:style w:type="paragraph" w:styleId="ListContinue2">
    <w:name w:val="List Continue 2"/>
    <w:qFormat/>
    <w:rsid w:val="003B08E9"/>
    <w:pPr>
      <w:spacing w:after="210" w:line="240" w:lineRule="auto"/>
      <w:ind w:left="1134"/>
      <w:contextualSpacing/>
    </w:pPr>
    <w:rPr>
      <w:rFonts w:ascii="Arial" w:hAnsi="Arial"/>
      <w:color w:val="080808"/>
      <w:sz w:val="18"/>
      <w:szCs w:val="18"/>
      <w:lang w:val="en-GB"/>
    </w:rPr>
  </w:style>
  <w:style w:type="paragraph" w:styleId="ListContinue3">
    <w:name w:val="List Continue 3"/>
    <w:qFormat/>
    <w:rsid w:val="003B08E9"/>
    <w:pPr>
      <w:spacing w:after="210" w:line="240" w:lineRule="auto"/>
      <w:ind w:left="1474"/>
      <w:contextualSpacing/>
    </w:pPr>
    <w:rPr>
      <w:rFonts w:ascii="Arial" w:hAnsi="Arial"/>
      <w:color w:val="080808"/>
      <w:sz w:val="18"/>
      <w:szCs w:val="18"/>
      <w:lang w:val="en-GB"/>
    </w:rPr>
  </w:style>
  <w:style w:type="paragraph" w:styleId="ListContinue4">
    <w:name w:val="List Continue 4"/>
    <w:qFormat/>
    <w:rsid w:val="00194172"/>
    <w:pPr>
      <w:spacing w:after="210" w:line="240" w:lineRule="auto"/>
      <w:ind w:left="1814"/>
      <w:contextualSpacing/>
    </w:pPr>
    <w:rPr>
      <w:rFonts w:ascii="Arial" w:hAnsi="Arial"/>
      <w:color w:val="080808"/>
      <w:sz w:val="18"/>
      <w:szCs w:val="18"/>
      <w:lang w:val="en-GB"/>
    </w:rPr>
  </w:style>
  <w:style w:type="paragraph" w:styleId="ListContinue5">
    <w:name w:val="List Continue 5"/>
    <w:qFormat/>
    <w:rsid w:val="00A3501E"/>
    <w:pPr>
      <w:spacing w:after="210" w:line="240" w:lineRule="auto"/>
      <w:ind w:left="2211"/>
      <w:contextualSpacing/>
    </w:pPr>
    <w:rPr>
      <w:rFonts w:ascii="Arial" w:hAnsi="Arial"/>
      <w:color w:val="080808"/>
      <w:sz w:val="18"/>
      <w:szCs w:val="18"/>
      <w:lang w:val="en-GB"/>
    </w:rPr>
  </w:style>
  <w:style w:type="paragraph" w:styleId="ListNumber">
    <w:name w:val="List Number"/>
    <w:uiPriority w:val="99"/>
    <w:qFormat/>
    <w:rsid w:val="00B65F18"/>
    <w:pPr>
      <w:numPr>
        <w:numId w:val="4"/>
      </w:numPr>
      <w:spacing w:after="210" w:line="240" w:lineRule="auto"/>
      <w:ind w:left="737" w:hanging="357"/>
      <w:contextualSpacing/>
    </w:pPr>
    <w:rPr>
      <w:rFonts w:ascii="Arial" w:hAnsi="Arial"/>
      <w:color w:val="080808"/>
      <w:sz w:val="18"/>
      <w:szCs w:val="18"/>
      <w:lang w:val="en-GB"/>
    </w:rPr>
  </w:style>
  <w:style w:type="paragraph" w:styleId="ListNumber2">
    <w:name w:val="List Number 2"/>
    <w:uiPriority w:val="99"/>
    <w:qFormat/>
    <w:rsid w:val="00B65F18"/>
    <w:pPr>
      <w:numPr>
        <w:numId w:val="19"/>
      </w:numPr>
      <w:spacing w:after="210" w:line="240" w:lineRule="auto"/>
      <w:ind w:left="1134" w:hanging="357"/>
      <w:contextualSpacing/>
    </w:pPr>
    <w:rPr>
      <w:rFonts w:ascii="Arial" w:hAnsi="Arial"/>
      <w:color w:val="080808"/>
      <w:sz w:val="18"/>
      <w:szCs w:val="18"/>
      <w:lang w:val="en-GB"/>
    </w:rPr>
  </w:style>
  <w:style w:type="paragraph" w:styleId="ListNumber3">
    <w:name w:val="List Number 3"/>
    <w:qFormat/>
    <w:rsid w:val="00B65F18"/>
    <w:pPr>
      <w:numPr>
        <w:numId w:val="21"/>
      </w:numPr>
      <w:spacing w:after="210" w:line="240" w:lineRule="auto"/>
      <w:contextualSpacing/>
    </w:pPr>
    <w:rPr>
      <w:rFonts w:ascii="Arial" w:hAnsi="Arial"/>
      <w:color w:val="080808"/>
      <w:sz w:val="18"/>
      <w:szCs w:val="18"/>
      <w:lang w:val="en-GB"/>
    </w:rPr>
  </w:style>
  <w:style w:type="numbering" w:customStyle="1" w:styleId="NumberList">
    <w:name w:val="Number List"/>
    <w:basedOn w:val="BulletList"/>
    <w:uiPriority w:val="99"/>
    <w:rsid w:val="003D2A3E"/>
    <w:pPr>
      <w:numPr>
        <w:numId w:val="2"/>
      </w:numPr>
    </w:pPr>
  </w:style>
  <w:style w:type="paragraph" w:styleId="Subtitle">
    <w:name w:val="Subtitle"/>
    <w:basedOn w:val="Normal"/>
    <w:next w:val="Normal"/>
    <w:link w:val="SubtitleChar"/>
    <w:qFormat/>
    <w:rsid w:val="004147F8"/>
    <w:pPr>
      <w:numPr>
        <w:ilvl w:val="1"/>
      </w:numPr>
    </w:pPr>
    <w:rPr>
      <w:rFonts w:eastAsiaTheme="minorEastAsia"/>
      <w:color w:val="080808"/>
      <w:sz w:val="31"/>
    </w:rPr>
  </w:style>
  <w:style w:type="character" w:customStyle="1" w:styleId="SubtitleChar">
    <w:name w:val="Subtitle Char"/>
    <w:basedOn w:val="DefaultParagraphFont"/>
    <w:link w:val="Subtitle"/>
    <w:rsid w:val="004147F8"/>
    <w:rPr>
      <w:rFonts w:ascii="Arial" w:eastAsiaTheme="minorEastAsia" w:hAnsi="Arial"/>
      <w:color w:val="080808"/>
      <w:sz w:val="31"/>
      <w:lang w:val="en-GB"/>
    </w:rPr>
  </w:style>
  <w:style w:type="table" w:styleId="TableGrid">
    <w:name w:val="Table Grid"/>
    <w:basedOn w:val="TableNormal"/>
    <w:uiPriority w:val="59"/>
    <w:rsid w:val="003D2A3E"/>
    <w:pPr>
      <w:spacing w:line="240" w:lineRule="auto"/>
    </w:pPr>
    <w:rPr>
      <w:rFonts w:asciiTheme="minorHAnsi" w:hAnsiTheme="minorHAnsi"/>
      <w:sz w:val="22"/>
      <w:lang w:val="en-GB"/>
    </w:rPr>
    <w:tblPr>
      <w:tblCellMar>
        <w:left w:w="0" w:type="dxa"/>
        <w:right w:w="0" w:type="dxa"/>
      </w:tblCellMar>
    </w:tblPr>
  </w:style>
  <w:style w:type="paragraph" w:customStyle="1" w:styleId="Heading1noTOC">
    <w:name w:val="Heading 1 no TOC"/>
    <w:qFormat/>
    <w:rsid w:val="00D02AE9"/>
    <w:rPr>
      <w:rFonts w:ascii="Arial" w:hAnsi="Arial"/>
      <w:b/>
      <w:color w:val="080808"/>
      <w:sz w:val="45"/>
      <w:szCs w:val="18"/>
      <w:lang w:val="en-GB"/>
    </w:rPr>
  </w:style>
  <w:style w:type="paragraph" w:customStyle="1" w:styleId="Heading2noTOC">
    <w:name w:val="Heading 2 no TOC"/>
    <w:qFormat/>
    <w:rsid w:val="00D02AE9"/>
    <w:rPr>
      <w:rFonts w:ascii="Arial" w:hAnsi="Arial"/>
      <w:color w:val="080808"/>
      <w:sz w:val="25"/>
      <w:szCs w:val="18"/>
      <w:lang w:val="en-GB"/>
    </w:rPr>
  </w:style>
  <w:style w:type="paragraph" w:styleId="TOC1">
    <w:name w:val="toc 1"/>
    <w:basedOn w:val="Normal"/>
    <w:next w:val="Normal"/>
    <w:uiPriority w:val="39"/>
    <w:unhideWhenUsed/>
    <w:rsid w:val="00576342"/>
    <w:pPr>
      <w:tabs>
        <w:tab w:val="right" w:leader="dot" w:pos="9809"/>
      </w:tabs>
      <w:spacing w:before="200" w:after="120"/>
    </w:pPr>
    <w:rPr>
      <w:b/>
      <w:sz w:val="23"/>
    </w:rPr>
  </w:style>
  <w:style w:type="paragraph" w:styleId="TOC2">
    <w:name w:val="toc 2"/>
    <w:basedOn w:val="Normal"/>
    <w:next w:val="Normal"/>
    <w:uiPriority w:val="39"/>
    <w:unhideWhenUsed/>
    <w:rsid w:val="005110E7"/>
    <w:pPr>
      <w:spacing w:after="120"/>
      <w:ind w:left="221"/>
    </w:pPr>
    <w:rPr>
      <w:sz w:val="23"/>
    </w:rPr>
  </w:style>
  <w:style w:type="paragraph" w:styleId="TOC3">
    <w:name w:val="toc 3"/>
    <w:basedOn w:val="Normal"/>
    <w:next w:val="Normal"/>
    <w:uiPriority w:val="39"/>
    <w:unhideWhenUsed/>
    <w:rsid w:val="005110E7"/>
    <w:pPr>
      <w:spacing w:after="120"/>
      <w:ind w:left="442"/>
    </w:pPr>
    <w:rPr>
      <w:sz w:val="23"/>
    </w:rPr>
  </w:style>
  <w:style w:type="paragraph" w:customStyle="1" w:styleId="BodyTextNoSpacing">
    <w:name w:val="Body Text No Spacing"/>
    <w:basedOn w:val="BodyText"/>
    <w:qFormat/>
    <w:rsid w:val="00280D87"/>
    <w:pPr>
      <w:spacing w:after="0"/>
    </w:pPr>
  </w:style>
  <w:style w:type="paragraph" w:styleId="Date">
    <w:name w:val="Date"/>
    <w:basedOn w:val="Normal"/>
    <w:next w:val="Normal"/>
    <w:link w:val="DateChar"/>
    <w:rsid w:val="003D2A3E"/>
    <w:pPr>
      <w:spacing w:after="230"/>
    </w:pPr>
  </w:style>
  <w:style w:type="character" w:customStyle="1" w:styleId="DateChar">
    <w:name w:val="Date Char"/>
    <w:basedOn w:val="DefaultParagraphFont"/>
    <w:link w:val="Date"/>
    <w:rsid w:val="003D2A3E"/>
    <w:rPr>
      <w:rFonts w:ascii="Arial" w:hAnsi="Arial"/>
      <w:color w:val="333333"/>
      <w:sz w:val="20"/>
      <w:lang w:val="en-GB"/>
    </w:rPr>
  </w:style>
  <w:style w:type="paragraph" w:styleId="TOCHeading">
    <w:name w:val="TOC Heading"/>
    <w:basedOn w:val="Heading1"/>
    <w:next w:val="Normal"/>
    <w:rsid w:val="00624C10"/>
    <w:pPr>
      <w:outlineLvl w:val="9"/>
    </w:pPr>
  </w:style>
  <w:style w:type="character" w:styleId="PlaceholderText">
    <w:name w:val="Placeholder Text"/>
    <w:basedOn w:val="DefaultParagraphFont"/>
    <w:rsid w:val="003D2A3E"/>
    <w:rPr>
      <w:color w:val="FF00FF"/>
      <w:bdr w:val="none" w:sz="0" w:space="0" w:color="auto"/>
      <w:shd w:val="clear" w:color="auto" w:fill="auto"/>
    </w:rPr>
  </w:style>
  <w:style w:type="character" w:styleId="Emphasis">
    <w:name w:val="Emphasis"/>
    <w:basedOn w:val="DefaultParagraphFont"/>
    <w:qFormat/>
    <w:rsid w:val="00FD4DB7"/>
    <w:rPr>
      <w:b/>
      <w:i w:val="0"/>
      <w:iCs/>
      <w:color w:val="080808"/>
    </w:rPr>
  </w:style>
  <w:style w:type="paragraph" w:customStyle="1" w:styleId="FinePrint">
    <w:name w:val="Fine Print"/>
    <w:basedOn w:val="BodyText"/>
    <w:qFormat/>
    <w:rsid w:val="00576342"/>
    <w:pPr>
      <w:spacing w:after="160"/>
      <w:contextualSpacing/>
    </w:pPr>
    <w:rPr>
      <w:sz w:val="14"/>
    </w:rPr>
  </w:style>
  <w:style w:type="paragraph" w:styleId="Index1">
    <w:name w:val="index 1"/>
    <w:basedOn w:val="Normal"/>
    <w:next w:val="Normal"/>
    <w:uiPriority w:val="99"/>
    <w:semiHidden/>
    <w:unhideWhenUsed/>
    <w:rsid w:val="003B3120"/>
    <w:pPr>
      <w:ind w:left="200" w:hanging="200"/>
    </w:pPr>
  </w:style>
  <w:style w:type="numbering" w:customStyle="1" w:styleId="HMIBullets">
    <w:name w:val="HMI Bullets"/>
    <w:basedOn w:val="BulletList"/>
    <w:uiPriority w:val="99"/>
    <w:rsid w:val="00010EEC"/>
    <w:pPr>
      <w:numPr>
        <w:numId w:val="3"/>
      </w:numPr>
    </w:pPr>
  </w:style>
  <w:style w:type="numbering" w:customStyle="1" w:styleId="HMIListNumbers">
    <w:name w:val="HMI List Numbers"/>
    <w:basedOn w:val="NumberList"/>
    <w:uiPriority w:val="99"/>
    <w:rsid w:val="00010EEC"/>
    <w:pPr>
      <w:numPr>
        <w:numId w:val="4"/>
      </w:numPr>
    </w:pPr>
  </w:style>
  <w:style w:type="table" w:customStyle="1" w:styleId="HexagonTableAllBorders">
    <w:name w:val="Hexagon Table All Borders"/>
    <w:basedOn w:val="TableNormal"/>
    <w:uiPriority w:val="99"/>
    <w:rsid w:val="00010EEC"/>
    <w:pPr>
      <w:spacing w:line="240" w:lineRule="auto"/>
    </w:pPr>
    <w:tblPr>
      <w:tblStyleRowBandSize w:val="1"/>
      <w:tblBorders>
        <w:top w:val="single" w:sz="4" w:space="0" w:color="0097BA"/>
        <w:left w:val="single" w:sz="4" w:space="0" w:color="0097BA"/>
        <w:bottom w:val="single" w:sz="4" w:space="0" w:color="0097BA"/>
        <w:right w:val="single" w:sz="4" w:space="0" w:color="0097BA"/>
        <w:insideH w:val="single" w:sz="4" w:space="0" w:color="0097BA"/>
        <w:insideV w:val="single" w:sz="4" w:space="0" w:color="0097BA"/>
      </w:tblBorders>
      <w:tblCellMar>
        <w:top w:w="85" w:type="dxa"/>
        <w:bottom w:w="85" w:type="dxa"/>
      </w:tblCellMar>
    </w:tblPr>
    <w:tblStylePr w:type="firstRow">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0097BA"/>
      </w:tcPr>
    </w:tblStylePr>
    <w:tblStylePr w:type="band1Horz">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85CDDB"/>
      </w:tcPr>
    </w:tblStylePr>
    <w:tblStylePr w:type="band2Horz">
      <w:tblPr/>
      <w:tcPr>
        <w:tcBorders>
          <w:top w:val="single" w:sz="4" w:space="0" w:color="1B98AA"/>
          <w:left w:val="single" w:sz="4" w:space="0" w:color="1B98AA"/>
          <w:bottom w:val="single" w:sz="4" w:space="0" w:color="1B98AA"/>
          <w:right w:val="single" w:sz="4" w:space="0" w:color="1B98AA"/>
          <w:insideH w:val="single" w:sz="4" w:space="0" w:color="1B98AA"/>
          <w:insideV w:val="single" w:sz="4" w:space="0" w:color="1B98AA"/>
          <w:tl2br w:val="nil"/>
          <w:tr2bl w:val="nil"/>
        </w:tcBorders>
      </w:tcPr>
    </w:tblStylePr>
  </w:style>
  <w:style w:type="table" w:customStyle="1" w:styleId="HexagonTableInsideBordersOnly">
    <w:name w:val="Hexagon Table Inside Borders Only"/>
    <w:basedOn w:val="TableNormal"/>
    <w:uiPriority w:val="99"/>
    <w:rsid w:val="00010EEC"/>
    <w:pPr>
      <w:spacing w:line="240" w:lineRule="auto"/>
    </w:pPr>
    <w:tblPr>
      <w:tblBorders>
        <w:insideH w:val="single" w:sz="4" w:space="0" w:color="0097BA"/>
        <w:insideV w:val="single" w:sz="4" w:space="0" w:color="0097BA"/>
      </w:tblBorders>
      <w:tblCellMar>
        <w:top w:w="85" w:type="dxa"/>
        <w:bottom w:w="85" w:type="dxa"/>
      </w:tblCellMar>
    </w:tblPr>
  </w:style>
  <w:style w:type="character" w:styleId="Hyperlink">
    <w:name w:val="Hyperlink"/>
    <w:basedOn w:val="DefaultParagraphFont"/>
    <w:uiPriority w:val="99"/>
    <w:rsid w:val="00EC0FD1"/>
    <w:rPr>
      <w:color w:val="0097BA"/>
      <w:u w:val="none"/>
    </w:rPr>
  </w:style>
  <w:style w:type="paragraph" w:styleId="ListBullet4">
    <w:name w:val="List Bullet 4"/>
    <w:qFormat/>
    <w:rsid w:val="008500E4"/>
    <w:pPr>
      <w:numPr>
        <w:numId w:val="14"/>
      </w:numPr>
      <w:spacing w:after="210" w:line="240" w:lineRule="auto"/>
      <w:ind w:left="1814" w:hanging="357"/>
      <w:contextualSpacing/>
    </w:pPr>
    <w:rPr>
      <w:rFonts w:ascii="Arial" w:hAnsi="Arial"/>
      <w:color w:val="080808"/>
      <w:sz w:val="18"/>
      <w:szCs w:val="18"/>
      <w:lang w:val="en-GB"/>
    </w:rPr>
  </w:style>
  <w:style w:type="paragraph" w:styleId="ListBullet5">
    <w:name w:val="List Bullet 5"/>
    <w:qFormat/>
    <w:rsid w:val="008500E4"/>
    <w:pPr>
      <w:numPr>
        <w:numId w:val="15"/>
      </w:numPr>
      <w:spacing w:after="210" w:line="240" w:lineRule="auto"/>
      <w:ind w:left="2211" w:hanging="357"/>
      <w:contextualSpacing/>
    </w:pPr>
    <w:rPr>
      <w:rFonts w:ascii="Arial" w:hAnsi="Arial"/>
      <w:color w:val="080808"/>
      <w:sz w:val="18"/>
      <w:szCs w:val="18"/>
      <w:lang w:val="en-GB"/>
    </w:rPr>
  </w:style>
  <w:style w:type="paragraph" w:customStyle="1" w:styleId="Markup">
    <w:name w:val="Markup"/>
    <w:basedOn w:val="Normal"/>
    <w:link w:val="MarkupChar"/>
    <w:qFormat/>
    <w:rsid w:val="00280D87"/>
    <w:rPr>
      <w:color w:val="FF00FF"/>
    </w:rPr>
  </w:style>
  <w:style w:type="character" w:customStyle="1" w:styleId="MarkupChar">
    <w:name w:val="Markup Char"/>
    <w:basedOn w:val="DefaultParagraphFont"/>
    <w:link w:val="Markup"/>
    <w:rsid w:val="00280D87"/>
    <w:rPr>
      <w:rFonts w:ascii="Arial" w:hAnsi="Arial"/>
      <w:color w:val="FF00FF"/>
      <w:sz w:val="20"/>
      <w:lang w:val="en-GB"/>
    </w:rPr>
  </w:style>
  <w:style w:type="paragraph" w:styleId="IndexHeading">
    <w:name w:val="index heading"/>
    <w:basedOn w:val="Normal"/>
    <w:next w:val="Index1"/>
    <w:uiPriority w:val="99"/>
    <w:rsid w:val="00483728"/>
    <w:rPr>
      <w:rFonts w:eastAsiaTheme="majorEastAsia" w:cstheme="majorBidi"/>
      <w:bCs/>
      <w:caps/>
      <w:color w:val="545559"/>
      <w:sz w:val="36"/>
    </w:rPr>
  </w:style>
  <w:style w:type="paragraph" w:customStyle="1" w:styleId="TableText">
    <w:name w:val="Table Text"/>
    <w:basedOn w:val="Normal"/>
    <w:qFormat/>
    <w:rsid w:val="002D6E9B"/>
    <w:rPr>
      <w:color w:val="080808"/>
      <w:sz w:val="16"/>
    </w:rPr>
  </w:style>
  <w:style w:type="paragraph" w:customStyle="1" w:styleId="TableTitle">
    <w:name w:val="Table Title"/>
    <w:next w:val="TableText"/>
    <w:qFormat/>
    <w:rsid w:val="00A2584F"/>
    <w:pPr>
      <w:spacing w:line="240" w:lineRule="auto"/>
    </w:pPr>
    <w:rPr>
      <w:rFonts w:ascii="Arial" w:hAnsi="Arial"/>
      <w:b/>
      <w:color w:val="333333"/>
      <w:sz w:val="16"/>
      <w:lang w:val="en-GB"/>
    </w:rPr>
  </w:style>
  <w:style w:type="paragraph" w:customStyle="1" w:styleId="TableTitleWhite">
    <w:name w:val="Table Title White"/>
    <w:basedOn w:val="TableTitle"/>
    <w:next w:val="TableText"/>
    <w:qFormat/>
    <w:rsid w:val="001F6A30"/>
    <w:rPr>
      <w:color w:val="FFFFFF" w:themeColor="text1"/>
    </w:rPr>
  </w:style>
  <w:style w:type="paragraph" w:customStyle="1" w:styleId="Category">
    <w:name w:val="Category"/>
    <w:basedOn w:val="Normal"/>
    <w:qFormat/>
    <w:rsid w:val="00576342"/>
    <w:rPr>
      <w:color w:val="080808"/>
      <w:sz w:val="21"/>
    </w:rPr>
  </w:style>
  <w:style w:type="character" w:styleId="CommentReference">
    <w:name w:val="annotation reference"/>
    <w:basedOn w:val="DefaultParagraphFont"/>
    <w:uiPriority w:val="99"/>
    <w:semiHidden/>
    <w:unhideWhenUsed/>
    <w:rsid w:val="003E5482"/>
    <w:rPr>
      <w:sz w:val="16"/>
      <w:szCs w:val="16"/>
    </w:rPr>
  </w:style>
  <w:style w:type="paragraph" w:styleId="CommentText">
    <w:name w:val="annotation text"/>
    <w:basedOn w:val="Normal"/>
    <w:link w:val="CommentTextChar"/>
    <w:uiPriority w:val="99"/>
    <w:unhideWhenUsed/>
    <w:rsid w:val="003E5482"/>
    <w:rPr>
      <w:szCs w:val="20"/>
    </w:rPr>
  </w:style>
  <w:style w:type="character" w:customStyle="1" w:styleId="CommentTextChar">
    <w:name w:val="Comment Text Char"/>
    <w:basedOn w:val="DefaultParagraphFont"/>
    <w:link w:val="CommentText"/>
    <w:uiPriority w:val="99"/>
    <w:rsid w:val="003E5482"/>
    <w:rPr>
      <w:rFonts w:ascii="Arial" w:hAnsi="Arial"/>
      <w:color w:val="333333"/>
      <w:sz w:val="20"/>
      <w:szCs w:val="20"/>
      <w:lang w:val="en-GB"/>
    </w:rPr>
  </w:style>
  <w:style w:type="paragraph" w:styleId="CommentSubject">
    <w:name w:val="annotation subject"/>
    <w:basedOn w:val="CommentText"/>
    <w:next w:val="CommentText"/>
    <w:link w:val="CommentSubjectChar"/>
    <w:uiPriority w:val="99"/>
    <w:semiHidden/>
    <w:unhideWhenUsed/>
    <w:rsid w:val="003E5482"/>
    <w:rPr>
      <w:b/>
      <w:bCs/>
    </w:rPr>
  </w:style>
  <w:style w:type="character" w:customStyle="1" w:styleId="CommentSubjectChar">
    <w:name w:val="Comment Subject Char"/>
    <w:basedOn w:val="CommentTextChar"/>
    <w:link w:val="CommentSubject"/>
    <w:uiPriority w:val="99"/>
    <w:semiHidden/>
    <w:rsid w:val="003E5482"/>
    <w:rPr>
      <w:rFonts w:ascii="Arial" w:hAnsi="Arial"/>
      <w:b/>
      <w:bCs/>
      <w:color w:val="333333"/>
      <w:sz w:val="20"/>
      <w:szCs w:val="20"/>
      <w:lang w:val="en-GB"/>
    </w:rPr>
  </w:style>
  <w:style w:type="paragraph" w:styleId="BalloonText">
    <w:name w:val="Balloon Text"/>
    <w:basedOn w:val="Normal"/>
    <w:link w:val="BalloonTextChar"/>
    <w:uiPriority w:val="99"/>
    <w:semiHidden/>
    <w:unhideWhenUsed/>
    <w:rsid w:val="003E5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82"/>
    <w:rPr>
      <w:rFonts w:ascii="Segoe UI" w:hAnsi="Segoe UI" w:cs="Segoe UI"/>
      <w:color w:val="333333"/>
      <w:sz w:val="18"/>
      <w:szCs w:val="18"/>
      <w:lang w:val="en-GB"/>
    </w:rPr>
  </w:style>
  <w:style w:type="paragraph" w:customStyle="1" w:styleId="Title-LetterheadMemo">
    <w:name w:val="Title - Letterhead &amp; Memo"/>
    <w:qFormat/>
    <w:rsid w:val="004147F8"/>
    <w:rPr>
      <w:rFonts w:ascii="Arial" w:eastAsiaTheme="majorEastAsia" w:hAnsi="Arial" w:cstheme="majorBidi"/>
      <w:b/>
      <w:color w:val="080808"/>
      <w:spacing w:val="-10"/>
      <w:kern w:val="28"/>
      <w:sz w:val="42"/>
      <w:szCs w:val="36"/>
      <w:lang w:val="en-GB"/>
    </w:rPr>
  </w:style>
  <w:style w:type="paragraph" w:customStyle="1" w:styleId="Contact">
    <w:name w:val="Contact"/>
    <w:qFormat/>
    <w:rsid w:val="00280D87"/>
    <w:pPr>
      <w:spacing w:line="240" w:lineRule="auto"/>
    </w:pPr>
    <w:rPr>
      <w:rFonts w:ascii="Arial" w:hAnsi="Arial"/>
      <w:color w:val="080808"/>
      <w:sz w:val="20"/>
      <w:szCs w:val="20"/>
      <w:lang w:val="en-GB"/>
    </w:rPr>
  </w:style>
  <w:style w:type="paragraph" w:customStyle="1" w:styleId="ContactHeading">
    <w:name w:val="Contact Heading"/>
    <w:basedOn w:val="Contact"/>
    <w:qFormat/>
    <w:rsid w:val="00280D87"/>
    <w:rPr>
      <w:b/>
      <w:sz w:val="22"/>
    </w:rPr>
  </w:style>
  <w:style w:type="paragraph" w:customStyle="1" w:styleId="MediaReleaseHeading1">
    <w:name w:val="Media Release Heading 1"/>
    <w:qFormat/>
    <w:rsid w:val="00280D87"/>
    <w:pPr>
      <w:spacing w:before="400" w:after="140" w:line="240" w:lineRule="auto"/>
      <w:contextualSpacing/>
      <w:outlineLvl w:val="0"/>
    </w:pPr>
    <w:rPr>
      <w:rFonts w:ascii="Arial" w:hAnsi="Arial"/>
      <w:b/>
      <w:color w:val="080808"/>
      <w:sz w:val="28"/>
      <w:szCs w:val="22"/>
      <w:lang w:val="en-GB"/>
    </w:rPr>
  </w:style>
  <w:style w:type="paragraph" w:customStyle="1" w:styleId="MediaReleaseHeading2">
    <w:name w:val="Media Release Heading 2"/>
    <w:qFormat/>
    <w:rsid w:val="00280D87"/>
    <w:pPr>
      <w:spacing w:before="300" w:after="80" w:line="240" w:lineRule="auto"/>
      <w:contextualSpacing/>
    </w:pPr>
    <w:rPr>
      <w:rFonts w:ascii="Arial" w:hAnsi="Arial"/>
      <w:color w:val="080808"/>
      <w:sz w:val="22"/>
      <w:szCs w:val="18"/>
      <w:lang w:val="en-GB"/>
    </w:rPr>
  </w:style>
  <w:style w:type="paragraph" w:customStyle="1" w:styleId="MediaReleaseListNumber1">
    <w:name w:val="Media Release List Number 1"/>
    <w:qFormat/>
    <w:rsid w:val="00965318"/>
    <w:pPr>
      <w:numPr>
        <w:numId w:val="16"/>
      </w:numPr>
      <w:spacing w:after="230" w:line="240" w:lineRule="auto"/>
      <w:ind w:left="737" w:hanging="357"/>
      <w:contextualSpacing/>
    </w:pPr>
    <w:rPr>
      <w:rFonts w:ascii="Arial" w:hAnsi="Arial"/>
      <w:color w:val="080808"/>
      <w:sz w:val="18"/>
      <w:szCs w:val="18"/>
      <w:lang w:val="en-GB"/>
    </w:rPr>
  </w:style>
  <w:style w:type="paragraph" w:customStyle="1" w:styleId="MediaReleaseListNumber2">
    <w:name w:val="Media Release List Number 2"/>
    <w:qFormat/>
    <w:rsid w:val="00965318"/>
    <w:pPr>
      <w:numPr>
        <w:numId w:val="17"/>
      </w:numPr>
      <w:spacing w:after="230" w:line="240" w:lineRule="auto"/>
      <w:ind w:left="1134" w:hanging="357"/>
      <w:contextualSpacing/>
    </w:pPr>
    <w:rPr>
      <w:rFonts w:ascii="Arial" w:hAnsi="Arial"/>
      <w:color w:val="080808"/>
      <w:sz w:val="18"/>
      <w:szCs w:val="18"/>
      <w:lang w:val="en-GB"/>
    </w:rPr>
  </w:style>
  <w:style w:type="paragraph" w:customStyle="1" w:styleId="MediaReleaseListNumber3">
    <w:name w:val="Media Release List Number 3"/>
    <w:qFormat/>
    <w:rsid w:val="009B11F4"/>
    <w:pPr>
      <w:numPr>
        <w:numId w:val="18"/>
      </w:numPr>
      <w:spacing w:after="230" w:line="240" w:lineRule="auto"/>
      <w:ind w:left="1474" w:hanging="357"/>
      <w:contextualSpacing/>
    </w:pPr>
    <w:rPr>
      <w:rFonts w:ascii="Arial" w:hAnsi="Arial"/>
      <w:color w:val="080808"/>
      <w:sz w:val="18"/>
      <w:szCs w:val="18"/>
      <w:lang w:val="en-GB"/>
    </w:rPr>
  </w:style>
  <w:style w:type="paragraph" w:customStyle="1" w:styleId="MediaReleaseSubtitle">
    <w:name w:val="Media Release Subtitle"/>
    <w:qFormat/>
    <w:rsid w:val="00280D87"/>
    <w:pPr>
      <w:spacing w:line="240" w:lineRule="auto"/>
    </w:pPr>
    <w:rPr>
      <w:rFonts w:ascii="Arial" w:eastAsiaTheme="minorEastAsia" w:hAnsi="Arial"/>
      <w:color w:val="080808"/>
      <w:sz w:val="20"/>
      <w:szCs w:val="20"/>
      <w:lang w:val="en-GB"/>
    </w:rPr>
  </w:style>
  <w:style w:type="paragraph" w:customStyle="1" w:styleId="MediaReleaseTitle">
    <w:name w:val="Media Release Title"/>
    <w:qFormat/>
    <w:rsid w:val="00280D87"/>
    <w:pPr>
      <w:spacing w:line="240" w:lineRule="auto"/>
    </w:pPr>
    <w:rPr>
      <w:rFonts w:ascii="Arial" w:eastAsiaTheme="majorEastAsia" w:hAnsi="Arial" w:cstheme="majorBidi"/>
      <w:b/>
      <w:color w:val="080808"/>
      <w:spacing w:val="-10"/>
      <w:kern w:val="28"/>
      <w:sz w:val="36"/>
      <w:szCs w:val="36"/>
      <w:lang w:val="en-GB"/>
    </w:rPr>
  </w:style>
  <w:style w:type="paragraph" w:customStyle="1" w:styleId="Title-Book">
    <w:name w:val="Title - Book"/>
    <w:qFormat/>
    <w:rsid w:val="005A0708"/>
    <w:rPr>
      <w:rFonts w:ascii="Arial" w:eastAsiaTheme="majorEastAsia" w:hAnsi="Arial" w:cstheme="majorBidi"/>
      <w:b/>
      <w:color w:val="080808"/>
      <w:spacing w:val="-10"/>
      <w:kern w:val="28"/>
      <w:sz w:val="45"/>
      <w:szCs w:val="56"/>
      <w:lang w:val="en-GB"/>
    </w:rPr>
  </w:style>
  <w:style w:type="paragraph" w:customStyle="1" w:styleId="Heading3noTOC">
    <w:name w:val="Heading 3 no TOC"/>
    <w:qFormat/>
    <w:rsid w:val="00D02AE9"/>
    <w:rPr>
      <w:rFonts w:ascii="Arial" w:hAnsi="Arial"/>
      <w:color w:val="080808"/>
      <w:sz w:val="23"/>
      <w:szCs w:val="18"/>
      <w:lang w:val="en-GB"/>
    </w:rPr>
  </w:style>
  <w:style w:type="paragraph" w:customStyle="1" w:styleId="Heading4noTOC">
    <w:name w:val="Heading 4 no TOC"/>
    <w:basedOn w:val="BodyText"/>
    <w:qFormat/>
    <w:rsid w:val="005C78B8"/>
    <w:pPr>
      <w:contextualSpacing/>
    </w:pPr>
  </w:style>
  <w:style w:type="paragraph" w:customStyle="1" w:styleId="HEXFooter">
    <w:name w:val="HEX Footer"/>
    <w:basedOn w:val="Normal"/>
    <w:qFormat/>
    <w:rsid w:val="00ED2EDA"/>
    <w:rPr>
      <w:rFonts w:eastAsiaTheme="minorEastAsia"/>
      <w:noProof/>
      <w:color w:val="auto"/>
      <w:sz w:val="14"/>
      <w:szCs w:val="14"/>
      <w:lang w:val="en-US"/>
    </w:rPr>
  </w:style>
  <w:style w:type="paragraph" w:customStyle="1" w:styleId="HEXBody">
    <w:name w:val="HEX Body"/>
    <w:basedOn w:val="Normal"/>
    <w:next w:val="Normal"/>
    <w:qFormat/>
    <w:rsid w:val="00ED2EDA"/>
    <w:pPr>
      <w:widowControl w:val="0"/>
      <w:suppressAutoHyphens/>
      <w:autoSpaceDE w:val="0"/>
      <w:autoSpaceDN w:val="0"/>
      <w:adjustRightInd w:val="0"/>
      <w:spacing w:line="288" w:lineRule="auto"/>
      <w:textAlignment w:val="center"/>
    </w:pPr>
    <w:rPr>
      <w:rFonts w:eastAsiaTheme="minorEastAsia" w:cs="Arial"/>
      <w:color w:val="000000"/>
      <w:sz w:val="18"/>
      <w:szCs w:val="18"/>
      <w:lang w:val="en-US"/>
    </w:rPr>
  </w:style>
  <w:style w:type="paragraph" w:customStyle="1" w:styleId="Section1">
    <w:name w:val="Section 1"/>
    <w:basedOn w:val="Normal"/>
    <w:autoRedefine/>
    <w:rsid w:val="00ED2EDA"/>
    <w:pPr>
      <w:numPr>
        <w:ilvl w:val="1"/>
        <w:numId w:val="23"/>
      </w:numPr>
      <w:tabs>
        <w:tab w:val="clear" w:pos="851"/>
        <w:tab w:val="left" w:pos="680"/>
      </w:tabs>
      <w:suppressAutoHyphens/>
      <w:spacing w:before="60" w:after="60"/>
      <w:ind w:left="0" w:firstLine="0"/>
      <w:jc w:val="both"/>
      <w:outlineLvl w:val="1"/>
    </w:pPr>
    <w:rPr>
      <w:rFonts w:ascii="CG Times (W1)" w:eastAsia="Times New Roman" w:hAnsi="CG Times (W1)" w:cs="Times New Roman"/>
      <w:bCs/>
      <w:color w:val="auto"/>
      <w:spacing w:val="-2"/>
      <w:sz w:val="22"/>
      <w:szCs w:val="26"/>
      <w:lang w:val="en-US"/>
    </w:rPr>
  </w:style>
  <w:style w:type="paragraph" w:customStyle="1" w:styleId="Sectionheading">
    <w:name w:val="Section heading"/>
    <w:basedOn w:val="Normal"/>
    <w:next w:val="Section1"/>
    <w:autoRedefine/>
    <w:rsid w:val="00ED2EDA"/>
    <w:pPr>
      <w:keepNext/>
      <w:numPr>
        <w:numId w:val="23"/>
      </w:numPr>
      <w:tabs>
        <w:tab w:val="left" w:pos="680"/>
      </w:tabs>
      <w:suppressAutoHyphens/>
      <w:spacing w:before="360" w:after="120"/>
      <w:jc w:val="both"/>
    </w:pPr>
    <w:rPr>
      <w:rFonts w:ascii="Arial (W1)" w:eastAsia="Times New Roman" w:hAnsi="Arial (W1)" w:cs="Times New Roman"/>
      <w:b/>
      <w:smallCaps/>
      <w:color w:val="auto"/>
      <w:spacing w:val="-2"/>
      <w:sz w:val="22"/>
      <w:szCs w:val="20"/>
      <w:lang w:val="en-US"/>
    </w:rPr>
  </w:style>
  <w:style w:type="paragraph" w:customStyle="1" w:styleId="Section2">
    <w:name w:val="Section 2"/>
    <w:basedOn w:val="Normal"/>
    <w:autoRedefine/>
    <w:rsid w:val="00ED2EDA"/>
    <w:pPr>
      <w:numPr>
        <w:ilvl w:val="2"/>
        <w:numId w:val="23"/>
      </w:numPr>
      <w:suppressAutoHyphens/>
      <w:spacing w:before="60" w:after="60"/>
      <w:ind w:left="0" w:firstLine="0"/>
      <w:jc w:val="both"/>
      <w:outlineLvl w:val="1"/>
    </w:pPr>
    <w:rPr>
      <w:rFonts w:ascii="CG Times (W1)" w:eastAsia="Times New Roman" w:hAnsi="CG Times (W1)" w:cs="Times New Roman"/>
      <w:color w:val="auto"/>
      <w:spacing w:val="-2"/>
      <w:sz w:val="22"/>
      <w:szCs w:val="26"/>
    </w:rPr>
  </w:style>
  <w:style w:type="paragraph" w:customStyle="1" w:styleId="Section3">
    <w:name w:val="Section 3"/>
    <w:basedOn w:val="Normal"/>
    <w:rsid w:val="00ED2EDA"/>
    <w:pPr>
      <w:numPr>
        <w:ilvl w:val="3"/>
        <w:numId w:val="23"/>
      </w:numPr>
    </w:pPr>
    <w:rPr>
      <w:rFonts w:ascii="Arial (W1)" w:eastAsia="Times New Roman" w:hAnsi="Arial (W1)" w:cs="Times New Roman"/>
      <w:color w:val="auto"/>
      <w:sz w:val="22"/>
    </w:rPr>
  </w:style>
  <w:style w:type="character" w:customStyle="1" w:styleId="MenoPendente1">
    <w:name w:val="Menção Pendente1"/>
    <w:basedOn w:val="DefaultParagraphFont"/>
    <w:uiPriority w:val="99"/>
    <w:semiHidden/>
    <w:unhideWhenUsed/>
    <w:rsid w:val="00ED2EDA"/>
    <w:rPr>
      <w:color w:val="605E5C"/>
      <w:shd w:val="clear" w:color="auto" w:fill="E1DFDD"/>
    </w:rPr>
  </w:style>
  <w:style w:type="character" w:styleId="FollowedHyperlink">
    <w:name w:val="FollowedHyperlink"/>
    <w:basedOn w:val="DefaultParagraphFont"/>
    <w:uiPriority w:val="99"/>
    <w:semiHidden/>
    <w:unhideWhenUsed/>
    <w:rsid w:val="00ED2EDA"/>
    <w:rPr>
      <w:color w:val="7030A0" w:themeColor="followedHyperlink"/>
      <w:u w:val="single"/>
    </w:rPr>
  </w:style>
  <w:style w:type="paragraph" w:styleId="Revision">
    <w:name w:val="Revision"/>
    <w:hidden/>
    <w:uiPriority w:val="99"/>
    <w:semiHidden/>
    <w:rsid w:val="00ED2EDA"/>
    <w:pPr>
      <w:spacing w:line="240" w:lineRule="auto"/>
    </w:pPr>
    <w:rPr>
      <w:rFonts w:asciiTheme="minorHAnsi" w:hAnsiTheme="minorHAnsi"/>
      <w:sz w:val="22"/>
      <w:szCs w:val="22"/>
      <w:lang w:val="en-GB"/>
    </w:rPr>
  </w:style>
  <w:style w:type="paragraph" w:styleId="ListParagraph">
    <w:name w:val="List Paragraph"/>
    <w:basedOn w:val="Normal"/>
    <w:uiPriority w:val="34"/>
    <w:qFormat/>
    <w:rsid w:val="00ED2EDA"/>
    <w:pPr>
      <w:ind w:left="720"/>
      <w:contextualSpacing/>
    </w:pPr>
    <w:rPr>
      <w:rFonts w:asciiTheme="minorHAnsi" w:hAnsiTheme="minorHAnsi"/>
      <w:color w:val="auto"/>
      <w:sz w:val="24"/>
      <w:lang w:val="en-US"/>
    </w:rPr>
  </w:style>
  <w:style w:type="paragraph" w:styleId="NoSpacing">
    <w:name w:val="No Spacing"/>
    <w:uiPriority w:val="1"/>
    <w:qFormat/>
    <w:rsid w:val="00ED2EDA"/>
    <w:pPr>
      <w:autoSpaceDE w:val="0"/>
      <w:autoSpaceDN w:val="0"/>
      <w:adjustRightInd w:val="0"/>
      <w:spacing w:line="240" w:lineRule="auto"/>
      <w:jc w:val="both"/>
    </w:pPr>
    <w:rPr>
      <w:rFonts w:ascii="Calibri" w:eastAsiaTheme="minorEastAsia" w:hAnsi="Calibri" w:cs="Calibri"/>
      <w:sz w:val="22"/>
      <w:szCs w:val="22"/>
      <w:lang w:val="en-US"/>
    </w:rPr>
  </w:style>
  <w:style w:type="paragraph" w:customStyle="1" w:styleId="TCLevel2">
    <w:name w:val="TC Level 2"/>
    <w:basedOn w:val="ListParagraph"/>
    <w:qFormat/>
    <w:rsid w:val="00ED2EDA"/>
    <w:pPr>
      <w:numPr>
        <w:ilvl w:val="3"/>
        <w:numId w:val="26"/>
      </w:numPr>
      <w:spacing w:before="120"/>
      <w:contextualSpacing w:val="0"/>
      <w:jc w:val="both"/>
    </w:pPr>
    <w:rPr>
      <w:rFonts w:ascii="Arial" w:hAnsi="Arial"/>
      <w:sz w:val="17"/>
      <w:szCs w:val="17"/>
      <w:lang w:val="en-AU"/>
    </w:rPr>
  </w:style>
  <w:style w:type="paragraph" w:customStyle="1" w:styleId="TCLevel1">
    <w:name w:val="TC Level 1"/>
    <w:basedOn w:val="ListParagraph"/>
    <w:link w:val="TCLevel1Char"/>
    <w:qFormat/>
    <w:rsid w:val="00ED2EDA"/>
    <w:pPr>
      <w:numPr>
        <w:ilvl w:val="2"/>
        <w:numId w:val="26"/>
      </w:numPr>
      <w:spacing w:before="120"/>
      <w:contextualSpacing w:val="0"/>
      <w:jc w:val="both"/>
    </w:pPr>
    <w:rPr>
      <w:rFonts w:ascii="Arial" w:hAnsi="Arial"/>
      <w:sz w:val="17"/>
      <w:szCs w:val="17"/>
      <w:lang w:val="en-AU"/>
    </w:rPr>
  </w:style>
  <w:style w:type="character" w:customStyle="1" w:styleId="TCLevel1Char">
    <w:name w:val="TC Level 1 Char"/>
    <w:basedOn w:val="DefaultParagraphFont"/>
    <w:link w:val="TCLevel1"/>
    <w:rsid w:val="00ED2EDA"/>
    <w:rPr>
      <w:rFonts w:ascii="Arial" w:hAnsi="Arial"/>
      <w:sz w:val="17"/>
      <w:szCs w:val="17"/>
      <w:lang w:val="en-AU"/>
    </w:rPr>
  </w:style>
  <w:style w:type="paragraph" w:customStyle="1" w:styleId="TCH3">
    <w:name w:val="TC H3"/>
    <w:basedOn w:val="ListParagraph"/>
    <w:link w:val="TCH3Char"/>
    <w:qFormat/>
    <w:rsid w:val="00ED2EDA"/>
    <w:pPr>
      <w:numPr>
        <w:ilvl w:val="1"/>
        <w:numId w:val="26"/>
      </w:numPr>
      <w:spacing w:before="120"/>
      <w:contextualSpacing w:val="0"/>
      <w:jc w:val="both"/>
    </w:pPr>
    <w:rPr>
      <w:rFonts w:ascii="Arial" w:hAnsi="Arial"/>
      <w:b/>
      <w:sz w:val="17"/>
      <w:szCs w:val="17"/>
      <w:lang w:val="en-AU"/>
    </w:rPr>
  </w:style>
  <w:style w:type="character" w:customStyle="1" w:styleId="TCH3Char">
    <w:name w:val="TC H3 Char"/>
    <w:basedOn w:val="DefaultParagraphFont"/>
    <w:link w:val="TCH3"/>
    <w:rsid w:val="00ED2EDA"/>
    <w:rPr>
      <w:rFonts w:ascii="Arial" w:hAnsi="Arial"/>
      <w:b/>
      <w:sz w:val="17"/>
      <w:szCs w:val="17"/>
      <w:lang w:val="en-AU"/>
    </w:rPr>
  </w:style>
  <w:style w:type="paragraph" w:customStyle="1" w:styleId="TCH2">
    <w:name w:val="TC H2"/>
    <w:basedOn w:val="ListParagraph"/>
    <w:qFormat/>
    <w:rsid w:val="00ED2EDA"/>
    <w:pPr>
      <w:numPr>
        <w:numId w:val="26"/>
      </w:numPr>
      <w:pBdr>
        <w:bottom w:val="single" w:sz="4" w:space="1" w:color="auto"/>
      </w:pBdr>
      <w:spacing w:before="120"/>
      <w:jc w:val="both"/>
    </w:pPr>
    <w:rPr>
      <w:rFonts w:ascii="Arial" w:hAnsi="Arial"/>
      <w:b/>
      <w:smallCaps/>
      <w:sz w:val="20"/>
      <w:szCs w:val="22"/>
      <w:lang w:val="en-AU"/>
    </w:rPr>
  </w:style>
  <w:style w:type="paragraph" w:customStyle="1" w:styleId="DownerListNumber2">
    <w:name w:val="Downer List Number 2"/>
    <w:basedOn w:val="ListNumber2"/>
    <w:qFormat/>
    <w:rsid w:val="00ED2EDA"/>
    <w:pPr>
      <w:keepNext/>
      <w:numPr>
        <w:ilvl w:val="1"/>
        <w:numId w:val="28"/>
      </w:numPr>
      <w:tabs>
        <w:tab w:val="num" w:pos="360"/>
      </w:tabs>
      <w:spacing w:before="60" w:after="60"/>
      <w:contextualSpacing w:val="0"/>
      <w:jc w:val="both"/>
    </w:pPr>
    <w:rPr>
      <w:rFonts w:eastAsia="Times New Roman" w:cs="Times New Roman"/>
      <w:b/>
      <w:color w:val="auto"/>
      <w:sz w:val="16"/>
      <w:szCs w:val="24"/>
      <w:lang w:val="en-AU"/>
    </w:rPr>
  </w:style>
  <w:style w:type="paragraph" w:customStyle="1" w:styleId="DownerListNumber4">
    <w:name w:val="Downer List Number 4"/>
    <w:basedOn w:val="ListNumber4"/>
    <w:qFormat/>
    <w:rsid w:val="00ED2EDA"/>
    <w:pPr>
      <w:numPr>
        <w:ilvl w:val="3"/>
        <w:numId w:val="28"/>
      </w:numPr>
      <w:tabs>
        <w:tab w:val="num" w:pos="360"/>
      </w:tabs>
      <w:spacing w:before="60" w:after="60"/>
      <w:contextualSpacing w:val="0"/>
      <w:jc w:val="both"/>
    </w:pPr>
    <w:rPr>
      <w:rFonts w:ascii="Arial" w:eastAsia="Times New Roman" w:hAnsi="Arial" w:cs="Times New Roman"/>
      <w:sz w:val="16"/>
      <w:szCs w:val="24"/>
      <w:lang w:val="en-AU"/>
    </w:rPr>
  </w:style>
  <w:style w:type="paragraph" w:customStyle="1" w:styleId="DownerListNumber1">
    <w:name w:val="Downer List Number 1"/>
    <w:basedOn w:val="ListNumber"/>
    <w:qFormat/>
    <w:rsid w:val="00ED2EDA"/>
    <w:pPr>
      <w:keepNext/>
      <w:numPr>
        <w:numId w:val="0"/>
      </w:numPr>
      <w:spacing w:before="120" w:after="120"/>
      <w:ind w:left="567" w:hanging="567"/>
      <w:contextualSpacing w:val="0"/>
      <w:jc w:val="both"/>
    </w:pPr>
    <w:rPr>
      <w:rFonts w:eastAsia="Times New Roman" w:cs="Times New Roman"/>
      <w:b/>
      <w:caps/>
      <w:color w:val="auto"/>
      <w:sz w:val="16"/>
      <w:szCs w:val="24"/>
      <w:lang w:val="en-AU"/>
    </w:rPr>
  </w:style>
  <w:style w:type="paragraph" w:customStyle="1" w:styleId="DownerListNumber5">
    <w:name w:val="Downer List Number 5"/>
    <w:basedOn w:val="ListNumber5"/>
    <w:qFormat/>
    <w:rsid w:val="00ED2EDA"/>
    <w:pPr>
      <w:numPr>
        <w:ilvl w:val="4"/>
        <w:numId w:val="28"/>
      </w:numPr>
      <w:tabs>
        <w:tab w:val="num" w:pos="360"/>
      </w:tabs>
      <w:spacing w:before="60" w:after="60"/>
      <w:contextualSpacing w:val="0"/>
      <w:jc w:val="both"/>
    </w:pPr>
    <w:rPr>
      <w:rFonts w:ascii="Arial" w:eastAsia="Times New Roman" w:hAnsi="Arial" w:cs="Times New Roman"/>
      <w:sz w:val="16"/>
      <w:szCs w:val="24"/>
      <w:lang w:val="en-AU"/>
    </w:rPr>
  </w:style>
  <w:style w:type="numbering" w:customStyle="1" w:styleId="DownerNumberedList">
    <w:name w:val="Downer Numbered List"/>
    <w:uiPriority w:val="99"/>
    <w:rsid w:val="00ED2EDA"/>
    <w:pPr>
      <w:numPr>
        <w:numId w:val="27"/>
      </w:numPr>
    </w:pPr>
  </w:style>
  <w:style w:type="paragraph" w:customStyle="1" w:styleId="DownerListNumber6">
    <w:name w:val="Downer List Number 6"/>
    <w:basedOn w:val="DownerListNumber5"/>
    <w:qFormat/>
    <w:rsid w:val="00ED2EDA"/>
    <w:pPr>
      <w:numPr>
        <w:ilvl w:val="5"/>
      </w:numPr>
      <w:tabs>
        <w:tab w:val="num" w:pos="360"/>
      </w:tabs>
    </w:pPr>
  </w:style>
  <w:style w:type="paragraph" w:styleId="ListNumber4">
    <w:name w:val="List Number 4"/>
    <w:basedOn w:val="Normal"/>
    <w:uiPriority w:val="99"/>
    <w:semiHidden/>
    <w:unhideWhenUsed/>
    <w:rsid w:val="00ED2EDA"/>
    <w:pPr>
      <w:ind w:left="567" w:hanging="567"/>
      <w:contextualSpacing/>
    </w:pPr>
    <w:rPr>
      <w:rFonts w:asciiTheme="minorHAnsi" w:hAnsiTheme="minorHAnsi"/>
      <w:color w:val="auto"/>
      <w:sz w:val="22"/>
      <w:szCs w:val="22"/>
    </w:rPr>
  </w:style>
  <w:style w:type="paragraph" w:styleId="ListNumber5">
    <w:name w:val="List Number 5"/>
    <w:basedOn w:val="Normal"/>
    <w:uiPriority w:val="99"/>
    <w:semiHidden/>
    <w:unhideWhenUsed/>
    <w:rsid w:val="00ED2EDA"/>
    <w:pPr>
      <w:numPr>
        <w:numId w:val="30"/>
      </w:numPr>
      <w:contextualSpacing/>
    </w:pPr>
    <w:rPr>
      <w:rFonts w:asciiTheme="minorHAnsi" w:hAnsiTheme="minorHAnsi"/>
      <w:color w:val="auto"/>
      <w:sz w:val="22"/>
      <w:szCs w:val="22"/>
    </w:rPr>
  </w:style>
  <w:style w:type="paragraph" w:customStyle="1" w:styleId="Doc1">
    <w:name w:val="Doc1"/>
    <w:basedOn w:val="BodyText"/>
    <w:next w:val="Doc2"/>
    <w:rsid w:val="00ED2EDA"/>
    <w:pPr>
      <w:keepNext/>
      <w:widowControl w:val="0"/>
      <w:numPr>
        <w:numId w:val="33"/>
      </w:numPr>
      <w:tabs>
        <w:tab w:val="left" w:pos="425"/>
        <w:tab w:val="left" w:pos="709"/>
      </w:tabs>
      <w:spacing w:before="120" w:after="0"/>
      <w:outlineLvl w:val="0"/>
    </w:pPr>
    <w:rPr>
      <w:rFonts w:ascii="Arial Bold" w:eastAsia="SimSun" w:hAnsi="Arial Bold" w:cs="Times New Roman"/>
      <w:b/>
      <w:color w:val="auto"/>
      <w:sz w:val="18"/>
      <w:szCs w:val="22"/>
      <w:lang w:val="en-AU" w:eastAsia="en-AU"/>
    </w:rPr>
  </w:style>
  <w:style w:type="paragraph" w:customStyle="1" w:styleId="Doc2">
    <w:name w:val="Doc2"/>
    <w:basedOn w:val="Doc1"/>
    <w:next w:val="BodyTextIndent"/>
    <w:rsid w:val="00ED2EDA"/>
    <w:pPr>
      <w:numPr>
        <w:ilvl w:val="1"/>
      </w:numPr>
      <w:outlineLvl w:val="1"/>
    </w:pPr>
    <w:rPr>
      <w:rFonts w:ascii="Arial" w:hAnsi="Arial"/>
      <w:b w:val="0"/>
      <w:szCs w:val="18"/>
    </w:rPr>
  </w:style>
  <w:style w:type="paragraph" w:customStyle="1" w:styleId="Doc3">
    <w:name w:val="Doc3"/>
    <w:basedOn w:val="Doc2"/>
    <w:rsid w:val="00ED2EDA"/>
    <w:pPr>
      <w:keepNext w:val="0"/>
      <w:numPr>
        <w:ilvl w:val="2"/>
      </w:numPr>
      <w:tabs>
        <w:tab w:val="left" w:pos="851"/>
      </w:tabs>
      <w:spacing w:before="60"/>
      <w:outlineLvl w:val="2"/>
    </w:pPr>
    <w:rPr>
      <w:rFonts w:cs="Arial"/>
    </w:rPr>
  </w:style>
  <w:style w:type="paragraph" w:styleId="BodyTextIndent">
    <w:name w:val="Body Text Indent"/>
    <w:basedOn w:val="Normal"/>
    <w:link w:val="BodyTextIndentChar"/>
    <w:uiPriority w:val="99"/>
    <w:semiHidden/>
    <w:unhideWhenUsed/>
    <w:rsid w:val="00ED2EDA"/>
    <w:pPr>
      <w:spacing w:after="120"/>
      <w:ind w:left="360"/>
    </w:pPr>
    <w:rPr>
      <w:rFonts w:asciiTheme="minorHAnsi" w:hAnsiTheme="minorHAnsi"/>
      <w:color w:val="auto"/>
      <w:sz w:val="22"/>
      <w:szCs w:val="22"/>
    </w:rPr>
  </w:style>
  <w:style w:type="character" w:customStyle="1" w:styleId="BodyTextIndentChar">
    <w:name w:val="Body Text Indent Char"/>
    <w:basedOn w:val="DefaultParagraphFont"/>
    <w:link w:val="BodyTextIndent"/>
    <w:uiPriority w:val="99"/>
    <w:semiHidden/>
    <w:rsid w:val="00ED2EDA"/>
    <w:rPr>
      <w:rFonts w:asciiTheme="minorHAnsi" w:hAnsiTheme="minorHAnsi"/>
      <w:sz w:val="22"/>
      <w:szCs w:val="22"/>
      <w:lang w:val="en-GB"/>
    </w:rPr>
  </w:style>
  <w:style w:type="paragraph" w:customStyle="1" w:styleId="TableParagraph">
    <w:name w:val="Table Paragraph"/>
    <w:basedOn w:val="Normal"/>
    <w:uiPriority w:val="1"/>
    <w:qFormat/>
    <w:rsid w:val="007A4F4E"/>
    <w:pPr>
      <w:widowControl w:val="0"/>
      <w:autoSpaceDE w:val="0"/>
      <w:autoSpaceDN w:val="0"/>
      <w:spacing w:before="159"/>
      <w:ind w:left="55"/>
    </w:pPr>
    <w:rPr>
      <w:rFonts w:ascii="Hexagon Akkurat Light" w:eastAsia="Hexagon Akkurat Light" w:hAnsi="Hexagon Akkurat Light" w:cs="Hexagon Akkurat Light"/>
      <w:color w:val="auto"/>
      <w:sz w:val="22"/>
      <w:szCs w:val="22"/>
      <w:lang w:val="en-US" w:bidi="en-US"/>
    </w:rPr>
  </w:style>
  <w:style w:type="paragraph" w:customStyle="1" w:styleId="Default">
    <w:name w:val="Default"/>
    <w:rsid w:val="00EA4917"/>
    <w:pPr>
      <w:autoSpaceDE w:val="0"/>
      <w:autoSpaceDN w:val="0"/>
      <w:adjustRightInd w:val="0"/>
      <w:spacing w:line="240" w:lineRule="auto"/>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196">
      <w:bodyDiv w:val="1"/>
      <w:marLeft w:val="0"/>
      <w:marRight w:val="0"/>
      <w:marTop w:val="0"/>
      <w:marBottom w:val="0"/>
      <w:divBdr>
        <w:top w:val="none" w:sz="0" w:space="0" w:color="auto"/>
        <w:left w:val="none" w:sz="0" w:space="0" w:color="auto"/>
        <w:bottom w:val="none" w:sz="0" w:space="0" w:color="auto"/>
        <w:right w:val="none" w:sz="0" w:space="0" w:color="auto"/>
      </w:divBdr>
    </w:div>
    <w:div w:id="450638122">
      <w:bodyDiv w:val="1"/>
      <w:marLeft w:val="0"/>
      <w:marRight w:val="0"/>
      <w:marTop w:val="0"/>
      <w:marBottom w:val="0"/>
      <w:divBdr>
        <w:top w:val="none" w:sz="0" w:space="0" w:color="auto"/>
        <w:left w:val="none" w:sz="0" w:space="0" w:color="auto"/>
        <w:bottom w:val="none" w:sz="0" w:space="0" w:color="auto"/>
        <w:right w:val="none" w:sz="0" w:space="0" w:color="auto"/>
      </w:divBdr>
    </w:div>
    <w:div w:id="1169783819">
      <w:bodyDiv w:val="1"/>
      <w:marLeft w:val="0"/>
      <w:marRight w:val="0"/>
      <w:marTop w:val="0"/>
      <w:marBottom w:val="0"/>
      <w:divBdr>
        <w:top w:val="none" w:sz="0" w:space="0" w:color="auto"/>
        <w:left w:val="none" w:sz="0" w:space="0" w:color="auto"/>
        <w:bottom w:val="none" w:sz="0" w:space="0" w:color="auto"/>
        <w:right w:val="none" w:sz="0" w:space="0" w:color="auto"/>
      </w:divBdr>
    </w:div>
    <w:div w:id="1211727490">
      <w:bodyDiv w:val="1"/>
      <w:marLeft w:val="0"/>
      <w:marRight w:val="0"/>
      <w:marTop w:val="0"/>
      <w:marBottom w:val="0"/>
      <w:divBdr>
        <w:top w:val="none" w:sz="0" w:space="0" w:color="auto"/>
        <w:left w:val="none" w:sz="0" w:space="0" w:color="auto"/>
        <w:bottom w:val="none" w:sz="0" w:space="0" w:color="auto"/>
        <w:right w:val="none" w:sz="0" w:space="0" w:color="auto"/>
      </w:divBdr>
    </w:div>
    <w:div w:id="15928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xagonmining.com/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gal.min@hexagonmin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OneDrive%20-%20Hexagon\Desktop\Update%20T&amp;Cs\Hexagon_Styles_Template.dotx" TargetMode="External"/></Relationships>
</file>

<file path=word/theme/theme1.xml><?xml version="1.0" encoding="utf-8"?>
<a:theme xmlns:a="http://schemas.openxmlformats.org/drawingml/2006/main" name="Office Theme">
  <a:themeElements>
    <a:clrScheme name="Hexagon">
      <a:dk1>
        <a:srgbClr val="FFFFFF"/>
      </a:dk1>
      <a:lt1>
        <a:srgbClr val="333333"/>
      </a:lt1>
      <a:dk2>
        <a:srgbClr val="FFFFFF"/>
      </a:dk2>
      <a:lt2>
        <a:srgbClr val="0097BA"/>
      </a:lt2>
      <a:accent1>
        <a:srgbClr val="0097BA"/>
      </a:accent1>
      <a:accent2>
        <a:srgbClr val="85CDDB"/>
      </a:accent2>
      <a:accent3>
        <a:srgbClr val="A5D867"/>
      </a:accent3>
      <a:accent4>
        <a:srgbClr val="0097BA"/>
      </a:accent4>
      <a:accent5>
        <a:srgbClr val="85CDDB"/>
      </a:accent5>
      <a:accent6>
        <a:srgbClr val="A5D867"/>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39F0-5290-4FB0-BADA-3C6A1E8E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Hexagon_Styles_Template</Template>
  <TotalTime>28</TotalTime>
  <Pages>12</Pages>
  <Words>6669</Words>
  <Characters>36682</Characters>
  <Application>Microsoft Office Word</Application>
  <DocSecurity>0</DocSecurity>
  <Lines>748</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Joanne</dc:creator>
  <cp:keywords/>
  <dc:description/>
  <cp:lastModifiedBy>CARLSON Joanne</cp:lastModifiedBy>
  <cp:revision>4</cp:revision>
  <dcterms:created xsi:type="dcterms:W3CDTF">2021-10-11T17:16:00Z</dcterms:created>
  <dcterms:modified xsi:type="dcterms:W3CDTF">2021-10-11T17:44:00Z</dcterms:modified>
</cp:coreProperties>
</file>